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81031.xml.htm"/>
      <w:bookmarkStart w:id="1" w:name="ksform410022026_0810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MENZIUSO RICHARD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Altimmune, Inc.</w:t>
              </w:r>
            </w:hyperlink>
            <w:r>
              <w:rPr/>
              <w:t xml:space="preserve"> [ </w:t>
            </w:r>
            <w:r>
              <w:rPr>
                <w:rFonts w:ascii="Times;serif" w:hAnsi="Times;serif"/>
                <w:color w:val="0000FF"/>
                <w:sz w:val="24"/>
                <w:shd w:fill="FFFFFF" w:val="clear"/>
              </w:rPr>
              <w:t>ALT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(option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84,546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36,234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become vested and exercisable over four (4) years with 25% of the shares vesting on October 1, 2027, with the remainder vesting in equal monthly installments for the following thirty-six (36) months, subject to the reporting person's continued service on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Common Stock, par value $0.0001, when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become vested over four (4) years with 25% of the shares vesting on October 1, 2027, with the remainder vesting in equal annual installments for the following three (3) years, subject to the reporting person's continued service through the applicable vesting date, and have no expiration dat.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6820" TargetMode="External"/><Relationship Id="rId5" Type="http://schemas.openxmlformats.org/officeDocument/2006/relationships/hyperlink" Target="http://www.sec.gov/cgi-bin/browse-edgar?action=getcompany&amp;CIK=000132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3880</Characters>
  <CharactersWithSpaces>4509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