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3"/>
            <w:vMerge w:val="restart"/>
          </w:tcPr>
          <w:p>
            <w:pPr>
              <w:ind w:left="20"/>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Howarth Alex G.</w:t>
              </w:r>
            </w:hyperlink>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Altimmune,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9"/>
              </w:rPr>
              <w:t>350 MOUNT KEMBLE AVENUE</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11/02/2026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1001</w:t>
            </w: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MORRISTOWN NJ</w:t>
            </w:r>
          </w:p>
        </w:tc>
        <w:tc>
          <w:tcPr>
            <w:tcW w:w="1020" w:type="dxa"/>
            <w:vAlign w:val="bottom"/>
          </w:tcPr>
          <w:p>
            <w:pPr>
              <w:spacing w:after="0"/>
              <w:rPr>
                <w:sz w:val="4"/>
                <w:szCs w:val="4"/>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07960</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340" w:type="dxa"/>
            <w:vAlign w:val="bottom"/>
            <w:tcBorders>
              <w:bottom w:val="single" w:sz="8" w:color="2C2C2C"/>
            </w:tcBorders>
            <w:gridSpan w:val="3"/>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2.02</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11/02/2026</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11/02/2036</w:t>
            </w:r>
          </w:p>
        </w:tc>
        <w:tc>
          <w:tcPr>
            <w:tcW w:w="66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to</w:t>
            </w:r>
          </w:p>
        </w:tc>
        <w:tc>
          <w:tcPr>
            <w:tcW w:w="8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$0.0001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become vested and exercisable in substantially equal monthly installments over the 36 months following November 2, 2026, subject to the reporting person's continued service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Gregory Weaver, as</w:t>
            </w:r>
          </w:p>
        </w:tc>
        <w:tc>
          <w:tcPr>
            <w:tcW w:w="7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5798" TargetMode="External"/><Relationship Id="rId14" Type="http://schemas.openxmlformats.org/officeDocument/2006/relationships/hyperlink" Target="http://www.sec.gov/cgi-bin/browse-edgar?action=getcompany&amp;CIK=00013261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2026-11-04T15:14:39Z</dcterms:created>
  <dcterms:modified xsi:type="dcterms:W3CDTF">2026-11-04T15:14:39Z</dcterms:modified>
</cp:coreProperties>
</file>