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lt-20260630x10q.htm"/>
        <w:bookmarkStart w:id="1" w:name="ksal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fe609929_5bf6_40fd_9dc1_162effcfd6bf"/>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20"/>
              <w:jc w:val="left"/>
              <w:rPr/>
            </w:pPr>
            <w:r>
              <w:rPr/>
              <w:t>☒</w:t>
            </w:r>
          </w:p>
        </w:tc>
        <w:tc>
          <w:tcPr>
            <w:tcW w:w="9874"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20"/>
              <w:jc w:val="left"/>
              <w:rPr/>
            </w:pPr>
            <w:r>
              <w:rPr/>
              <w:t>☐</w:t>
            </w:r>
          </w:p>
        </w:tc>
        <w:tc>
          <w:tcPr>
            <w:tcW w:w="9874"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001-32587</w:t>
      </w:r>
    </w:p>
    <w:p>
      <w:pPr>
        <w:pStyle w:val="TextBody"/>
        <w:bidi w:val="0"/>
        <w:spacing w:before="0" w:after="120"/>
        <w:ind w:left="0" w:right="0" w:hanging="0"/>
        <w:jc w:val="center"/>
        <w:rPr/>
      </w:pPr>
      <w:r>
        <w:rPr/>
        <w:drawing>
          <wp:inline distT="0" distB="0" distL="0" distR="0">
            <wp:extent cx="37401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40150" cy="809625"/>
                    </a:xfrm>
                    <a:prstGeom prst="rect">
                      <a:avLst/>
                    </a:prstGeom>
                  </pic:spPr>
                </pic:pic>
              </a:graphicData>
            </a:graphic>
          </wp:inline>
        </w:drawing>
      </w:r>
    </w:p>
    <w:p>
      <w:pPr>
        <w:pStyle w:val="TextBody"/>
        <w:bidi w:val="0"/>
        <w:spacing w:before="0" w:after="40"/>
        <w:ind w:left="0" w:right="0" w:hanging="0"/>
        <w:jc w:val="center"/>
        <w:rPr>
          <w:rFonts w:ascii="Times New Roman;Times;serif" w:hAnsi="Times New Roman;Times;serif"/>
          <w:b/>
          <w:sz w:val="36"/>
        </w:rPr>
      </w:pPr>
      <w:r>
        <w:rPr>
          <w:rFonts w:ascii="Times New Roman;Times;serif" w:hAnsi="Times New Roman;Times;serif"/>
          <w:b/>
          <w:sz w:val="36"/>
        </w:rPr>
        <w:t>ALTIMMUNE,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3" w:name="Tc_iEIzcv0Rlk2O34EvtGCY-w_5_2"/>
      <w:bookmarkStart w:id="4" w:name="Tc_ApxPEozDyU2U-FE9Kb16gg_5_0"/>
      <w:bookmarkStart w:id="5" w:name="Tc_2aOY7VMZPUyVGd_CSQahsQ_4_0"/>
      <w:bookmarkStart w:id="6" w:name="Tc_OZ2g3L1Kf0yZYFiOZriL_g_2_2"/>
      <w:bookmarkStart w:id="7" w:name="Tc_gfqrxgub9kOQDrbQI1P3rw_2_0"/>
      <w:bookmarkStart w:id="8" w:name="_58db937b_f312_4ec3_a85a_80374ca84454"/>
      <w:bookmarkStart w:id="9" w:name="Tc_iEIzcv0Rlk2O34EvtGCY-w_5_2"/>
      <w:bookmarkStart w:id="10" w:name="Tc_ApxPEozDyU2U-FE9Kb16gg_5_0"/>
      <w:bookmarkStart w:id="11" w:name="Tc_2aOY7VMZPUyVGd_CSQahsQ_4_0"/>
      <w:bookmarkStart w:id="12" w:name="Tc_OZ2g3L1Kf0yZYFiOZriL_g_2_2"/>
      <w:bookmarkStart w:id="13" w:name="Tc_gfqrxgub9kOQDrbQI1P3rw_2_0"/>
      <w:bookmarkStart w:id="14" w:name="_58db937b_f312_4ec3_a85a_80374ca84454"/>
      <w:bookmarkEnd w:id="9"/>
      <w:bookmarkEnd w:id="10"/>
      <w:bookmarkEnd w:id="11"/>
      <w:bookmarkEnd w:id="12"/>
      <w:bookmarkEnd w:id="13"/>
      <w:bookmarkEnd w:id="14"/>
    </w:p>
    <w:tbl>
      <w:tblPr>
        <w:tblW w:w="5808" w:type="dxa"/>
        <w:jc w:val="left"/>
        <w:tblInd w:w="0" w:type="dxa"/>
        <w:tblLayout w:type="fixed"/>
        <w:tblCellMar>
          <w:top w:w="0" w:type="dxa"/>
          <w:left w:w="0" w:type="dxa"/>
          <w:bottom w:w="0" w:type="dxa"/>
          <w:right w:w="0" w:type="dxa"/>
        </w:tblCellMar>
      </w:tblPr>
      <w:tblGrid>
        <w:gridCol w:w="4366"/>
        <w:gridCol w:w="346"/>
        <w:gridCol w:w="1096"/>
      </w:tblGrid>
      <w:tr>
        <w:trPr/>
        <w:tc>
          <w:tcPr>
            <w:tcW w:w="436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20-2726770</w:t>
            </w:r>
          </w:p>
        </w:tc>
      </w:tr>
      <w:tr>
        <w:trPr/>
        <w:tc>
          <w:tcPr>
            <w:tcW w:w="436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Incorporation or Organization)</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Identification No.)</w:t>
            </w:r>
          </w:p>
        </w:tc>
      </w:tr>
      <w:tr>
        <w:trPr/>
        <w:tc>
          <w:tcPr>
            <w:tcW w:w="436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1096" w:type="dxa"/>
            <w:tcBorders/>
            <w:vAlign w:val="center"/>
          </w:tcPr>
          <w:p>
            <w:pPr>
              <w:pStyle w:val="TableContents"/>
              <w:bidi w:val="0"/>
              <w:spacing w:before="0" w:after="240"/>
              <w:ind w:left="0" w:right="0" w:hanging="0"/>
              <w:jc w:val="center"/>
              <w:rPr/>
            </w:pPr>
            <w:r>
              <w:rPr/>
              <w:t>​</w:t>
            </w:r>
          </w:p>
        </w:tc>
      </w:tr>
      <w:tr>
        <w:trPr/>
        <w:tc>
          <w:tcPr>
            <w:tcW w:w="4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910 Clopper Road</w:t>
            </w:r>
            <w:r>
              <w:rPr>
                <w:rFonts w:ascii="Times New Roman;Times;serif" w:hAnsi="Times New Roman;Times;serif"/>
                <w:sz w:val="20"/>
              </w:rPr>
              <w:t xml:space="preserve"> </w:t>
            </w:r>
            <w:r>
              <w:rPr>
                <w:rFonts w:ascii="Times New Roman;Times;serif" w:hAnsi="Times New Roman;Times;serif"/>
                <w:b/>
                <w:sz w:val="18"/>
              </w:rPr>
              <w:t>Suite 201S, Gaithersburg, Maryland</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20878</w:t>
            </w:r>
          </w:p>
        </w:tc>
      </w:tr>
      <w:tr>
        <w:trPr/>
        <w:tc>
          <w:tcPr>
            <w:tcW w:w="436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(240) 654-1450</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QU3scqZ4uEuBAPppaHplbg_1_2"/>
      <w:bookmarkStart w:id="16" w:name="Tc_cXfipPgzJEaXOibFOxFRLw_1_1"/>
      <w:bookmarkStart w:id="17" w:name="Tc_Nw6xZrHlnUC3dFll2AEVDA_1_0"/>
      <w:bookmarkStart w:id="18" w:name="_e76f98ad_27c3_48dc_b1b9_397c286e660c"/>
      <w:bookmarkStart w:id="19" w:name="Tc_QU3scqZ4uEuBAPppaHplbg_1_2"/>
      <w:bookmarkStart w:id="20" w:name="Tc_cXfipPgzJEaXOibFOxFRLw_1_1"/>
      <w:bookmarkStart w:id="21" w:name="Tc_Nw6xZrHlnUC3dFll2AEVDA_1_0"/>
      <w:bookmarkStart w:id="22" w:name="_e76f98ad_27c3_48dc_b1b9_397c286e660c"/>
      <w:bookmarkEnd w:id="19"/>
      <w:bookmarkEnd w:id="20"/>
      <w:bookmarkEnd w:id="21"/>
      <w:bookmarkEnd w:id="22"/>
    </w:p>
    <w:tbl>
      <w:tblPr>
        <w:tblW w:w="7848" w:type="dxa"/>
        <w:jc w:val="left"/>
        <w:tblInd w:w="0" w:type="dxa"/>
        <w:tblLayout w:type="fixed"/>
        <w:tblCellMar>
          <w:top w:w="0" w:type="dxa"/>
          <w:left w:w="0" w:type="dxa"/>
          <w:bottom w:w="0" w:type="dxa"/>
          <w:right w:w="0" w:type="dxa"/>
        </w:tblCellMar>
      </w:tblPr>
      <w:tblGrid>
        <w:gridCol w:w="3256"/>
        <w:gridCol w:w="1396"/>
        <w:gridCol w:w="319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196"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Trading Symbol(s)</w:t>
            </w:r>
          </w:p>
        </w:tc>
        <w:tc>
          <w:tcPr>
            <w:tcW w:w="31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Name of each exchange on which registered</w:t>
            </w:r>
          </w:p>
        </w:tc>
      </w:tr>
      <w:tr>
        <w:trPr/>
        <w:tc>
          <w:tcPr>
            <w:tcW w:w="3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$0.0001 per share</w:t>
            </w:r>
          </w:p>
        </w:tc>
        <w:tc>
          <w:tcPr>
            <w:tcW w:w="13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ALT</w:t>
            </w:r>
          </w:p>
        </w:tc>
        <w:tc>
          <w:tcPr>
            <w:tcW w:w="31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Global Market</w:t>
            </w:r>
          </w:p>
        </w:tc>
      </w:tr>
    </w:tbl>
    <w:p>
      <w:pPr>
        <w:pStyle w:val="TextBody"/>
        <w:bidi w:val="0"/>
        <w:spacing w:before="0" w:after="0"/>
        <w:ind w:left="0" w:right="0" w:hanging="0"/>
        <w:jc w:val="left"/>
        <w:rPr/>
      </w:pPr>
      <w:r>
        <w:rPr/>
        <w:t>​</w:t>
      </w:r>
    </w:p>
    <w:p>
      <w:pPr>
        <w:pStyle w:val="TextBody"/>
        <w:bidi w:val="0"/>
        <w:spacing w:before="0" w:after="10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0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49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3" w:name="Tc_BP9miEnn4UezFo-gvyRiMg_3_3"/>
      <w:bookmarkStart w:id="24" w:name="Tc_jFaPUU786UGnmbRlsxGG_w_2_3"/>
      <w:bookmarkStart w:id="25" w:name="Tc_qnTqHo1Qq0yjtZ0r6aKrkg_2_1"/>
      <w:bookmarkStart w:id="26" w:name="Tc_Egk9IZgMU0eXUc9rYdZo_A_1_4"/>
      <w:bookmarkStart w:id="27" w:name="Tc_Cpin1FHA4EKGvCuy10Nbug_1_3"/>
      <w:bookmarkStart w:id="28" w:name="Tc_G9JnA62WCUiNBr1YpnQloQ_1_1"/>
      <w:bookmarkStart w:id="29" w:name="Tc_FgwdJDwOAEGjJGKX54nwLg_1_0"/>
      <w:bookmarkStart w:id="30" w:name="_cd50054a_e181_498d_8fa1_889b3512cc75"/>
      <w:bookmarkStart w:id="31" w:name="Tc_BP9miEnn4UezFo-gvyRiMg_3_3"/>
      <w:bookmarkStart w:id="32" w:name="Tc_jFaPUU786UGnmbRlsxGG_w_2_3"/>
      <w:bookmarkStart w:id="33" w:name="Tc_qnTqHo1Qq0yjtZ0r6aKrkg_2_1"/>
      <w:bookmarkStart w:id="34" w:name="Tc_Egk9IZgMU0eXUc9rYdZo_A_1_4"/>
      <w:bookmarkStart w:id="35" w:name="Tc_Cpin1FHA4EKGvCuy10Nbug_1_3"/>
      <w:bookmarkStart w:id="36" w:name="Tc_G9JnA62WCUiNBr1YpnQloQ_1_1"/>
      <w:bookmarkStart w:id="37" w:name="Tc_FgwdJDwOAEGjJGKX54nwLg_1_0"/>
      <w:bookmarkStart w:id="38" w:name="_cd50054a_e181_498d_8fa1_889b3512cc75"/>
      <w:bookmarkEnd w:id="31"/>
      <w:bookmarkEnd w:id="32"/>
      <w:bookmarkEnd w:id="33"/>
      <w:bookmarkEnd w:id="34"/>
      <w:bookmarkEnd w:id="35"/>
      <w:bookmarkEnd w:id="36"/>
      <w:bookmarkEnd w:id="37"/>
      <w:bookmarkEnd w:id="38"/>
    </w:p>
    <w:tbl>
      <w:tblPr>
        <w:tblW w:w="4493" w:type="dxa"/>
        <w:jc w:val="left"/>
        <w:tblInd w:w="0" w:type="dxa"/>
        <w:tblLayout w:type="fixed"/>
        <w:tblCellMar>
          <w:top w:w="0" w:type="dxa"/>
          <w:left w:w="0" w:type="dxa"/>
          <w:bottom w:w="0" w:type="dxa"/>
          <w:right w:w="0" w:type="dxa"/>
        </w:tblCellMar>
      </w:tblPr>
      <w:tblGrid>
        <w:gridCol w:w="1666"/>
        <w:gridCol w:w="316"/>
        <w:gridCol w:w="109"/>
        <w:gridCol w:w="2041"/>
        <w:gridCol w:w="361"/>
      </w:tblGrid>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49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490"/>
        <w:jc w:val="both"/>
        <w:rPr>
          <w:rFonts w:ascii="Times New Roman;Times;serif" w:hAnsi="Times New Roman;Times;serif"/>
          <w:sz w:val="18"/>
        </w:rPr>
      </w:pPr>
      <w:r>
        <w:rPr>
          <w:rFonts w:ascii="Times New Roman;Times;serif" w:hAnsi="Times New Roman;Times;serif"/>
          <w:sz w:val="18"/>
        </w:rPr>
        <w:t>As of August 7, 2026 there were 194,517,701 shares of the registrant’s common stock, par value $0.0001 per share, outstanding.</w:t>
      </w:r>
    </w:p>
    <w:p>
      <w:pPr>
        <w:pStyle w:val="TextBody"/>
        <w:pBdr>
          <w:top w:val="single" w:sz="2" w:space="1" w:color="000000"/>
          <w:bottom w:val="single" w:sz="24" w:space="1" w:color="000000"/>
        </w:pBdr>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 w:name="_08a5ed41_8c50_4972_a2d1_7563862ce39a"/>
      <w:bookmarkEnd w:id="39"/>
      <w:r>
        <w:rPr>
          <w:rFonts w:ascii="Times New Roman;Times;serif" w:hAnsi="Times New Roman;Times;serif"/>
          <w:b/>
          <w:sz w:val="20"/>
        </w:rPr>
        <w:t>ALTIMMUNE, INC.</w:t>
      </w:r>
    </w:p>
    <w:p>
      <w:pPr>
        <w:pStyle w:val="TextBody"/>
        <w:bidi w:val="0"/>
        <w:spacing w:before="0" w:after="240"/>
        <w:ind w:left="0" w:right="0" w:hanging="0"/>
        <w:jc w:val="center"/>
        <w:rPr>
          <w:rFonts w:ascii="Times New Roman;Times;serif" w:hAnsi="Times New Roman;Times;serif"/>
          <w:b/>
          <w:sz w:val="20"/>
        </w:rPr>
      </w:pPr>
      <w:bookmarkStart w:id="40" w:name="TOC"/>
      <w:bookmarkEnd w:id="40"/>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83"/>
        <w:gridCol w:w="511"/>
      </w:tblGrid>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94" w:type="dxa"/>
            <w:gridSpan w:val="2"/>
            <w:tcBorders/>
            <w:vAlign w:val="center"/>
          </w:tcPr>
          <w:p>
            <w:pPr>
              <w:pStyle w:val="TableContents"/>
              <w:bidi w:val="0"/>
              <w:spacing w:before="0" w:after="0"/>
              <w:ind w:left="0" w:right="0" w:hanging="0"/>
              <w:jc w:val="left"/>
              <w:rPr/>
            </w:pPr>
            <w:hyperlink w:anchor="PARTIFINANCIALINFORMATION_8053">
              <w:r>
                <w:rPr>
                  <w:rStyle w:val="InternetLink"/>
                  <w:rFonts w:ascii="Times New Roman;Times;serif" w:hAnsi="Times New Roman;Times;serif"/>
                  <w:b/>
                  <w:i w:val="false"/>
                  <w:caps w:val="false"/>
                  <w:smallCaps w:val="false"/>
                  <w:sz w:val="20"/>
                </w:rPr>
                <w:t>PART I. FINANCIAL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961784">
              <w:r>
                <w:rPr>
                  <w:rStyle w:val="InternetLink"/>
                  <w:rFonts w:ascii="Times New Roman;Times;serif" w:hAnsi="Times New Roman;Times;serif"/>
                  <w:b w:val="false"/>
                  <w:i w:val="false"/>
                  <w:caps w:val="false"/>
                  <w:smallCaps w:val="false"/>
                  <w:sz w:val="20"/>
                </w:rPr>
                <w:t>Item 1.</w:t>
              </w:r>
            </w:hyperlink>
          </w:p>
        </w:tc>
        <w:tc>
          <w:tcPr>
            <w:tcW w:w="8883" w:type="dxa"/>
            <w:tcBorders/>
            <w:vAlign w:val="center"/>
          </w:tcPr>
          <w:p>
            <w:pPr>
              <w:pStyle w:val="TableContents"/>
              <w:bidi w:val="0"/>
              <w:spacing w:before="0" w:after="0"/>
              <w:ind w:left="0" w:right="0" w:hanging="0"/>
              <w:jc w:val="left"/>
              <w:rPr/>
            </w:pPr>
            <w:hyperlink w:anchor="Item1FinancialStatements_961784">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hyperlink w:anchor="CONSOLIDATEDBALANCESHEETS_242482">
              <w:r>
                <w:rPr>
                  <w:rStyle w:val="InternetLink"/>
                  <w:rFonts w:ascii="Times New Roman;Times;serif" w:hAnsi="Times New Roman;Times;serif"/>
                  <w:b w:val="false"/>
                  <w:i w:val="false"/>
                  <w:caps w:val="false"/>
                  <w:smallCaps w:val="false"/>
                  <w:sz w:val="20"/>
                </w:rPr>
                <w:t>Consolidated Balance Sheets as of June 30, 2026 (unaudited) and December 31,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and Comprehensive Loss for the three and six months ended June 30, 2026 and 2025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for the three and six months ended June 30, 2026 and 2025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hyperlink w:anchor="CONSOLIDATEDSTATEMENTSOFCASHFLOWS_490285">
              <w:r>
                <w:rPr>
                  <w:rStyle w:val="InternetLink"/>
                  <w:rFonts w:ascii="Times New Roman;Times;serif" w:hAnsi="Times New Roman;Times;serif"/>
                  <w:b w:val="false"/>
                  <w:i w:val="false"/>
                  <w:caps w:val="false"/>
                  <w:smallCaps w:val="false"/>
                  <w:sz w:val="20"/>
                </w:rPr>
                <w:t>Consolidated Statements of Cash Flows for the six months ended June 30, 2026 and 2025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hyperlink w:anchor="NOTESTOCONSOLIDATEDFINANCIALSTATEMENTS_4">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8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8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640907">
              <w:r>
                <w:rPr>
                  <w:rStyle w:val="InternetLink"/>
                  <w:rFonts w:ascii="Times New Roman;Times;serif" w:hAnsi="Times New Roman;Times;serif"/>
                  <w:b w:val="false"/>
                  <w:i w:val="false"/>
                  <w:caps w:val="false"/>
                  <w:smallCaps w:val="false"/>
                  <w:sz w:val="20"/>
                </w:rPr>
                <w:t>Item 4.</w:t>
              </w:r>
            </w:hyperlink>
          </w:p>
        </w:tc>
        <w:tc>
          <w:tcPr>
            <w:tcW w:w="8883" w:type="dxa"/>
            <w:tcBorders/>
            <w:vAlign w:val="center"/>
          </w:tcPr>
          <w:p>
            <w:pPr>
              <w:pStyle w:val="TableContents"/>
              <w:bidi w:val="0"/>
              <w:spacing w:before="0" w:after="0"/>
              <w:ind w:left="0" w:right="0" w:hanging="0"/>
              <w:jc w:val="left"/>
              <w:rPr/>
            </w:pPr>
            <w:hyperlink w:anchor="Item4ControlsandProcedures_640907">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gridSpan w:val="2"/>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gridSpan w:val="2"/>
            <w:tcBorders/>
            <w:vAlign w:val="center"/>
          </w:tcPr>
          <w:p>
            <w:pPr>
              <w:pStyle w:val="TableContents"/>
              <w:bidi w:val="0"/>
              <w:spacing w:before="0" w:after="0"/>
              <w:ind w:left="0" w:right="0" w:hanging="0"/>
              <w:jc w:val="left"/>
              <w:rPr/>
            </w:pPr>
            <w:hyperlink w:anchor="PARTIIOTHERINFORMATION_760989">
              <w:r>
                <w:rPr>
                  <w:rStyle w:val="InternetLink"/>
                  <w:rFonts w:ascii="Times New Roman;Times;serif" w:hAnsi="Times New Roman;Times;serif"/>
                  <w:b/>
                  <w:i w:val="false"/>
                  <w:caps w:val="false"/>
                  <w:smallCaps w:val="false"/>
                  <w:sz w:val="20"/>
                </w:rPr>
                <w:t>PART II. OTHER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974488">
              <w:r>
                <w:rPr>
                  <w:rStyle w:val="InternetLink"/>
                  <w:rFonts w:ascii="Times New Roman;Times;serif" w:hAnsi="Times New Roman;Times;serif"/>
                  <w:b w:val="false"/>
                  <w:i w:val="false"/>
                  <w:caps w:val="false"/>
                  <w:smallCaps w:val="false"/>
                  <w:sz w:val="20"/>
                </w:rPr>
                <w:t>Item 1.</w:t>
              </w:r>
            </w:hyperlink>
          </w:p>
        </w:tc>
        <w:tc>
          <w:tcPr>
            <w:tcW w:w="8883" w:type="dxa"/>
            <w:tcBorders/>
            <w:vAlign w:val="center"/>
          </w:tcPr>
          <w:p>
            <w:pPr>
              <w:pStyle w:val="TableContents"/>
              <w:bidi w:val="0"/>
              <w:spacing w:before="0" w:after="0"/>
              <w:ind w:left="0" w:right="0" w:hanging="0"/>
              <w:jc w:val="left"/>
              <w:rPr/>
            </w:pPr>
            <w:hyperlink w:anchor="Item1LegalProceedings_974488">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RiskFactors_350839">
              <w:r>
                <w:rPr>
                  <w:rStyle w:val="InternetLink"/>
                  <w:rFonts w:ascii="Times New Roman;Times;serif" w:hAnsi="Times New Roman;Times;serif"/>
                  <w:b w:val="false"/>
                  <w:i w:val="false"/>
                  <w:caps w:val="false"/>
                  <w:smallCaps w:val="false"/>
                  <w:sz w:val="20"/>
                </w:rPr>
                <w:t>Item 1A.</w:t>
              </w:r>
            </w:hyperlink>
          </w:p>
        </w:tc>
        <w:tc>
          <w:tcPr>
            <w:tcW w:w="8883" w:type="dxa"/>
            <w:tcBorders/>
            <w:vAlign w:val="center"/>
          </w:tcPr>
          <w:p>
            <w:pPr>
              <w:pStyle w:val="TableContents"/>
              <w:bidi w:val="0"/>
              <w:spacing w:before="0" w:after="0"/>
              <w:ind w:left="0" w:right="0" w:hanging="0"/>
              <w:jc w:val="left"/>
              <w:rPr/>
            </w:pPr>
            <w:hyperlink w:anchor="Item1ARiskFactors_350839">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8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3DefaultuponSeniorSecurities_41291">
              <w:r>
                <w:rPr>
                  <w:rStyle w:val="InternetLink"/>
                  <w:rFonts w:ascii="Times New Roman;Times;serif" w:hAnsi="Times New Roman;Times;serif"/>
                  <w:b w:val="false"/>
                  <w:i w:val="false"/>
                  <w:caps w:val="false"/>
                  <w:smallCaps w:val="false"/>
                  <w:sz w:val="20"/>
                </w:rPr>
                <w:t>Item 3.</w:t>
              </w:r>
            </w:hyperlink>
          </w:p>
        </w:tc>
        <w:tc>
          <w:tcPr>
            <w:tcW w:w="8883" w:type="dxa"/>
            <w:tcBorders/>
            <w:vAlign w:val="center"/>
          </w:tcPr>
          <w:p>
            <w:pPr>
              <w:pStyle w:val="TableContents"/>
              <w:bidi w:val="0"/>
              <w:spacing w:before="0" w:after="0"/>
              <w:ind w:left="0" w:right="0" w:hanging="0"/>
              <w:jc w:val="left"/>
              <w:rPr/>
            </w:pPr>
            <w:hyperlink w:anchor="Item3DefaultuponSeniorSecurities_41291">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4MineSafetyDisclosures_637902">
              <w:r>
                <w:rPr>
                  <w:rStyle w:val="InternetLink"/>
                  <w:rFonts w:ascii="Times New Roman;Times;serif" w:hAnsi="Times New Roman;Times;serif"/>
                  <w:b w:val="false"/>
                  <w:i w:val="false"/>
                  <w:caps w:val="false"/>
                  <w:smallCaps w:val="false"/>
                  <w:sz w:val="20"/>
                </w:rPr>
                <w:t>Item 4.</w:t>
              </w:r>
            </w:hyperlink>
          </w:p>
        </w:tc>
        <w:tc>
          <w:tcPr>
            <w:tcW w:w="8883" w:type="dxa"/>
            <w:tcBorders/>
            <w:vAlign w:val="center"/>
          </w:tcPr>
          <w:p>
            <w:pPr>
              <w:pStyle w:val="TableContents"/>
              <w:bidi w:val="0"/>
              <w:spacing w:before="0" w:after="0"/>
              <w:ind w:left="0" w:right="0" w:hanging="0"/>
              <w:jc w:val="left"/>
              <w:rPr/>
            </w:pPr>
            <w:hyperlink w:anchor="Item4MineSafetyDisclosures_637902">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OtherInformation_359177">
              <w:r>
                <w:rPr>
                  <w:rStyle w:val="InternetLink"/>
                  <w:rFonts w:ascii="Times New Roman;Times;serif" w:hAnsi="Times New Roman;Times;serif"/>
                  <w:b w:val="false"/>
                  <w:i w:val="false"/>
                  <w:caps w:val="false"/>
                  <w:smallCaps w:val="false"/>
                  <w:sz w:val="20"/>
                </w:rPr>
                <w:t>Item 5.</w:t>
              </w:r>
            </w:hyperlink>
          </w:p>
        </w:tc>
        <w:tc>
          <w:tcPr>
            <w:tcW w:w="8883" w:type="dxa"/>
            <w:tcBorders/>
            <w:vAlign w:val="center"/>
          </w:tcPr>
          <w:p>
            <w:pPr>
              <w:pStyle w:val="TableContents"/>
              <w:bidi w:val="0"/>
              <w:spacing w:before="0" w:after="0"/>
              <w:ind w:left="0" w:right="0" w:hanging="0"/>
              <w:jc w:val="left"/>
              <w:rPr/>
            </w:pPr>
            <w:hyperlink w:anchor="Item5OtherInformation_359177">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6Exhibits_593392">
              <w:r>
                <w:rPr>
                  <w:rStyle w:val="InternetLink"/>
                  <w:rFonts w:ascii="Times New Roman;Times;serif" w:hAnsi="Times New Roman;Times;serif"/>
                  <w:b w:val="false"/>
                  <w:i w:val="false"/>
                  <w:caps w:val="false"/>
                  <w:smallCaps w:val="false"/>
                  <w:sz w:val="20"/>
                </w:rPr>
                <w:t>Item 6.</w:t>
              </w:r>
            </w:hyperlink>
          </w:p>
        </w:tc>
        <w:tc>
          <w:tcPr>
            <w:tcW w:w="8883" w:type="dxa"/>
            <w:tcBorders/>
            <w:vAlign w:val="center"/>
          </w:tcPr>
          <w:p>
            <w:pPr>
              <w:pStyle w:val="TableContents"/>
              <w:bidi w:val="0"/>
              <w:spacing w:before="0" w:after="0"/>
              <w:ind w:left="0" w:right="0" w:hanging="0"/>
              <w:jc w:val="left"/>
              <w:rPr/>
            </w:pPr>
            <w:hyperlink w:anchor="Item6Exhibits_593392">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hyperlink w:anchor="SIGNATURES_71153">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1" w:name="PARTIFINANCIALINFORMATION_8053"/>
      <w:bookmarkStart w:id="42" w:name="_84ab4d0e_fc3a_40fe_be83_5c7752839338"/>
      <w:bookmarkEnd w:id="41"/>
      <w:bookmarkEnd w:id="42"/>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3" w:name="Item1FinancialStatements_961784"/>
      <w:bookmarkEnd w:id="43"/>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ALTIMMUNE, INC.</w:t>
      </w:r>
    </w:p>
    <w:p>
      <w:pPr>
        <w:pStyle w:val="TextBody"/>
        <w:bidi w:val="0"/>
        <w:spacing w:before="0" w:after="0"/>
        <w:ind w:left="0" w:right="0" w:hanging="0"/>
        <w:jc w:val="center"/>
        <w:rPr>
          <w:rFonts w:ascii="Times New Roman;Times;serif" w:hAnsi="Times New Roman;Times;serif"/>
          <w:b/>
          <w:sz w:val="20"/>
        </w:rPr>
      </w:pPr>
      <w:bookmarkStart w:id="44" w:name="CONSOLIDATEDBALANCESHEETS_242482"/>
      <w:bookmarkEnd w:id="44"/>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per-share amounts)</w:t>
      </w:r>
    </w:p>
    <w:p>
      <w:pPr>
        <w:pStyle w:val="Normal"/>
        <w:bidi w:val="0"/>
        <w:spacing w:before="0" w:after="0"/>
        <w:jc w:val="left"/>
        <w:rPr>
          <w:sz w:val="4"/>
          <w:szCs w:val="4"/>
        </w:rPr>
      </w:pPr>
      <w:r>
        <w:rPr>
          <w:sz w:val="4"/>
          <w:szCs w:val="4"/>
        </w:rPr>
      </w:r>
      <w:bookmarkStart w:id="45" w:name="Tc_hck_G_OqEkuTOwuBwqmAQw_33_5"/>
      <w:bookmarkStart w:id="46" w:name="Tc_qcJvLfccPk2fyHS_fP3UkA_33_2"/>
      <w:bookmarkStart w:id="47" w:name="Tc_LWaDVwC290iyQ_lIFZWpJA_33_0"/>
      <w:bookmarkStart w:id="48" w:name="Tc_FAu3f3PjTUmSNkawTUCG4g_32_0"/>
      <w:bookmarkStart w:id="49" w:name="Tc_sVyXKm806EmVZmlF751Twg_31_0"/>
      <w:bookmarkStart w:id="50" w:name="Tc_mINjHCOfEEKSjYANFB57Lw_30_0"/>
      <w:bookmarkStart w:id="51" w:name="Tc_VA1TUvDa70G1ZD22YRLftA_29_0"/>
      <w:bookmarkStart w:id="52" w:name="Tc_hCydYJbzQEWy9Al3TpppWA_28_0"/>
      <w:bookmarkStart w:id="53" w:name="Tc_zOkYyLJBR0O_pZuIhdohfQ_27_0"/>
      <w:bookmarkStart w:id="54" w:name="Tc_VW-LqmHe-k-hqckEGThUDA_26_0"/>
      <w:bookmarkStart w:id="55" w:name="Tc_W4QMyiRGwkii2SKUSt_cfw_25_0"/>
      <w:bookmarkStart w:id="56" w:name="Tc__Mrmr_M2YE6JKV9F8s_Mrw_24_0"/>
      <w:bookmarkStart w:id="57" w:name="Tc_iJuuRkjyO0eNtZZYJ8ihhw_23_0"/>
      <w:bookmarkStart w:id="58" w:name="Tc_QwYUKeavoEK3PT6tuCtFWw_22_0"/>
      <w:bookmarkStart w:id="59" w:name="Tc_ZumozEbu8ki9dtZfs3kpmg_21_0"/>
      <w:bookmarkStart w:id="60" w:name="Tc_YfDVk7n8D0yzIx0fLdf2Lw_20_5"/>
      <w:bookmarkStart w:id="61" w:name="Tc_UdnhZ58kMU2RVezxGS7DrA_20_2"/>
      <w:bookmarkStart w:id="62" w:name="Tc_fbRXeF4ZpkmGSpAW7IXiSQ_20_0"/>
      <w:bookmarkStart w:id="63" w:name="Tc_XzvBg_6w802cF4Jn6ZXczQ_19_0"/>
      <w:bookmarkStart w:id="64" w:name="Tc_fl4IA-DK4kqBc3j-bel23g_18_0"/>
      <w:bookmarkStart w:id="65" w:name="Tc_JyPClp_SBEyc71plS9W38Q_17_5"/>
      <w:bookmarkStart w:id="66" w:name="Tc_GbLBhRPzEUGm31dzFZ7wlw_17_2"/>
      <w:bookmarkStart w:id="67" w:name="Tc_tKFniyKE-0ucryxHQI0jcg_17_0"/>
      <w:bookmarkStart w:id="68" w:name="Tc_sJeQQNGa6EObQOeYtV_rEA_16_0"/>
      <w:bookmarkStart w:id="69" w:name="Tc_WWuQXdHmF0anSQx3eqfBUA_15_0"/>
      <w:bookmarkStart w:id="70" w:name="Tc_-3D0MNbVE0GMYnQH8kD-2A_14_6"/>
      <w:bookmarkStart w:id="71" w:name="Tc_p0nhy61dNEaai5xr-NlqFQ_14_0"/>
      <w:bookmarkStart w:id="72" w:name="Tc_5KiZagIhTkquw6b2-eswAA_13_0"/>
      <w:bookmarkStart w:id="73" w:name="Tc_9q---FelMESlmazbR5b6PQ_12_0"/>
      <w:bookmarkStart w:id="74" w:name="Tc_DdZt17eJWUaWQy977p_52g_11_3"/>
      <w:bookmarkStart w:id="75" w:name="Tc_bMVwiM9LkUG2OB_YpbNo_Q_11_0"/>
      <w:bookmarkStart w:id="76" w:name="Tc_1k3oX09v9UawvO7Nhucl0g_10_0"/>
      <w:bookmarkStart w:id="77" w:name="Tc_akGkTEpMm0KkP53P2TyCIg_9_0"/>
      <w:bookmarkStart w:id="78" w:name="Tc_Gyx0hIN9gEaKpPoOwg5M0g_8_0"/>
      <w:bookmarkStart w:id="79" w:name="Tc_lItl4viXg06fvwaNbVmBgg_7_0"/>
      <w:bookmarkStart w:id="80" w:name="Tc_1a1r7AHFhkWn-0B-r-PE3g_6_5"/>
      <w:bookmarkStart w:id="81" w:name="Tc_zzr_Ryi3lkeOeMLNJEk4hw_6_2"/>
      <w:bookmarkStart w:id="82" w:name="Tc_fCqRkDqOFkGPxIN2n0uNdA_6_0"/>
      <w:bookmarkStart w:id="83" w:name="Tc_9fGpWPDBWU6TnejtSSVg3g_5_0"/>
      <w:bookmarkStart w:id="84" w:name="Tc_qjwyhLt9O0KDPUJc2N-3xw_4_0"/>
      <w:bookmarkStart w:id="85" w:name="Tc__MOZ7Hcz-0uzdnMlznqjlg_3_2"/>
      <w:bookmarkStart w:id="86" w:name="Tc_dZeEmn72U0ObWpGhr0zVig_2_5"/>
      <w:bookmarkStart w:id="87" w:name="Tc_zEYSv0eSQE-BauT76s0Wjg_2_2"/>
      <w:bookmarkStart w:id="88" w:name="Tc_mAevBScVVkOyvUQR2NV2FA_1_5"/>
      <w:bookmarkStart w:id="89" w:name="Tc_Uo0zHhWJAEmzUfx2zlFovg_1_2"/>
      <w:bookmarkStart w:id="90" w:name="_0579a913_9d78_4a1a_8f65_81790759103f"/>
      <w:bookmarkStart w:id="91" w:name="Tc_hck_G_OqEkuTOwuBwqmAQw_33_5"/>
      <w:bookmarkStart w:id="92" w:name="Tc_qcJvLfccPk2fyHS_fP3UkA_33_2"/>
      <w:bookmarkStart w:id="93" w:name="Tc_LWaDVwC290iyQ_lIFZWpJA_33_0"/>
      <w:bookmarkStart w:id="94" w:name="Tc_FAu3f3PjTUmSNkawTUCG4g_32_0"/>
      <w:bookmarkStart w:id="95" w:name="Tc_sVyXKm806EmVZmlF751Twg_31_0"/>
      <w:bookmarkStart w:id="96" w:name="Tc_mINjHCOfEEKSjYANFB57Lw_30_0"/>
      <w:bookmarkStart w:id="97" w:name="Tc_VA1TUvDa70G1ZD22YRLftA_29_0"/>
      <w:bookmarkStart w:id="98" w:name="Tc_hCydYJbzQEWy9Al3TpppWA_28_0"/>
      <w:bookmarkStart w:id="99" w:name="Tc_zOkYyLJBR0O_pZuIhdohfQ_27_0"/>
      <w:bookmarkStart w:id="100" w:name="Tc_VW-LqmHe-k-hqckEGThUDA_26_0"/>
      <w:bookmarkStart w:id="101" w:name="Tc_W4QMyiRGwkii2SKUSt_cfw_25_0"/>
      <w:bookmarkStart w:id="102" w:name="Tc__Mrmr_M2YE6JKV9F8s_Mrw_24_0"/>
      <w:bookmarkStart w:id="103" w:name="Tc_iJuuRkjyO0eNtZZYJ8ihhw_23_0"/>
      <w:bookmarkStart w:id="104" w:name="Tc_QwYUKeavoEK3PT6tuCtFWw_22_0"/>
      <w:bookmarkStart w:id="105" w:name="Tc_ZumozEbu8ki9dtZfs3kpmg_21_0"/>
      <w:bookmarkStart w:id="106" w:name="Tc_YfDVk7n8D0yzIx0fLdf2Lw_20_5"/>
      <w:bookmarkStart w:id="107" w:name="Tc_UdnhZ58kMU2RVezxGS7DrA_20_2"/>
      <w:bookmarkStart w:id="108" w:name="Tc_fbRXeF4ZpkmGSpAW7IXiSQ_20_0"/>
      <w:bookmarkStart w:id="109" w:name="Tc_XzvBg_6w802cF4Jn6ZXczQ_19_0"/>
      <w:bookmarkStart w:id="110" w:name="Tc_fl4IA-DK4kqBc3j-bel23g_18_0"/>
      <w:bookmarkStart w:id="111" w:name="Tc_JyPClp_SBEyc71plS9W38Q_17_5"/>
      <w:bookmarkStart w:id="112" w:name="Tc_GbLBhRPzEUGm31dzFZ7wlw_17_2"/>
      <w:bookmarkStart w:id="113" w:name="Tc_tKFniyKE-0ucryxHQI0jcg_17_0"/>
      <w:bookmarkStart w:id="114" w:name="Tc_sJeQQNGa6EObQOeYtV_rEA_16_0"/>
      <w:bookmarkStart w:id="115" w:name="Tc_WWuQXdHmF0anSQx3eqfBUA_15_0"/>
      <w:bookmarkStart w:id="116" w:name="Tc_-3D0MNbVE0GMYnQH8kD-2A_14_6"/>
      <w:bookmarkStart w:id="117" w:name="Tc_p0nhy61dNEaai5xr-NlqFQ_14_0"/>
      <w:bookmarkStart w:id="118" w:name="Tc_5KiZagIhTkquw6b2-eswAA_13_0"/>
      <w:bookmarkStart w:id="119" w:name="Tc_9q---FelMESlmazbR5b6PQ_12_0"/>
      <w:bookmarkStart w:id="120" w:name="Tc_DdZt17eJWUaWQy977p_52g_11_3"/>
      <w:bookmarkStart w:id="121" w:name="Tc_bMVwiM9LkUG2OB_YpbNo_Q_11_0"/>
      <w:bookmarkStart w:id="122" w:name="Tc_1k3oX09v9UawvO7Nhucl0g_10_0"/>
      <w:bookmarkStart w:id="123" w:name="Tc_akGkTEpMm0KkP53P2TyCIg_9_0"/>
      <w:bookmarkStart w:id="124" w:name="Tc_Gyx0hIN9gEaKpPoOwg5M0g_8_0"/>
      <w:bookmarkStart w:id="125" w:name="Tc_lItl4viXg06fvwaNbVmBgg_7_0"/>
      <w:bookmarkStart w:id="126" w:name="Tc_1a1r7AHFhkWn-0B-r-PE3g_6_5"/>
      <w:bookmarkStart w:id="127" w:name="Tc_zzr_Ryi3lkeOeMLNJEk4hw_6_2"/>
      <w:bookmarkStart w:id="128" w:name="Tc_fCqRkDqOFkGPxIN2n0uNdA_6_0"/>
      <w:bookmarkStart w:id="129" w:name="Tc_9fGpWPDBWU6TnejtSSVg3g_5_0"/>
      <w:bookmarkStart w:id="130" w:name="Tc_qjwyhLt9O0KDPUJc2N-3xw_4_0"/>
      <w:bookmarkStart w:id="131" w:name="Tc__MOZ7Hcz-0uzdnMlznqjlg_3_2"/>
      <w:bookmarkStart w:id="132" w:name="Tc_dZeEmn72U0ObWpGhr0zVig_2_5"/>
      <w:bookmarkStart w:id="133" w:name="Tc_zEYSv0eSQE-BauT76s0Wjg_2_2"/>
      <w:bookmarkStart w:id="134" w:name="Tc_mAevBScVVkOyvUQR2NV2FA_1_5"/>
      <w:bookmarkStart w:id="135" w:name="Tc_Uo0zHhWJAEmzUfx2zlFovg_1_2"/>
      <w:bookmarkStart w:id="136" w:name="_0579a913_9d78_4a1a_8f65_81790759103f"/>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7440"/>
        <w:gridCol w:w="346"/>
        <w:gridCol w:w="211"/>
        <w:gridCol w:w="931"/>
        <w:gridCol w:w="146"/>
        <w:gridCol w:w="212"/>
        <w:gridCol w:w="919"/>
      </w:tblGrid>
      <w:tr>
        <w:trPr/>
        <w:tc>
          <w:tcPr>
            <w:tcW w:w="7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724400" cy="175260"/>
                      <wp:effectExtent l="0" t="0" r="0" b="0"/>
                      <wp:wrapNone/>
                      <wp:docPr id="2" name="Frame1"/>
                      <a:graphic xmlns:a="http://schemas.openxmlformats.org/drawingml/2006/main">
                        <a:graphicData uri="http://schemas.microsoft.com/office/word/2010/wordprocessingShape">
                          <wps:wsp>
                            <wps:cNvSpPr txBox="1"/>
                            <wps:spPr>
                              <a:xfrm>
                                <a:off x="0" y="0"/>
                                <a:ext cx="4724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1185" cy="175260"/>
                      <wp:effectExtent l="0" t="0" r="0" b="0"/>
                      <wp:wrapNone/>
                      <wp:docPr id="5"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2710" cy="175260"/>
                      <wp:effectExtent l="0" t="0" r="0" b="0"/>
                      <wp:wrapNone/>
                      <wp:docPr id="6" name="Frame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4620" cy="175260"/>
                      <wp:effectExtent l="0" t="0" r="0" b="0"/>
                      <wp:wrapNone/>
                      <wp:docPr id="7" name="Frame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83565" cy="175260"/>
                      <wp:effectExtent l="0" t="0" r="0" b="0"/>
                      <wp:wrapNone/>
                      <wp:docPr id="8" name="Frame7"/>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left"/>
              <w:rPr/>
            </w:pPr>
            <w:r>
              <w:rPr/>
              <w:t>​</w:t>
            </w:r>
          </w:p>
        </w:tc>
        <w:tc>
          <w:tcPr>
            <w:tcW w:w="11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center"/>
              <w:rPr/>
            </w:pPr>
            <w:r>
              <w:rPr/>
              <w:t>​</w:t>
            </w:r>
          </w:p>
        </w:tc>
        <w:tc>
          <w:tcPr>
            <w:tcW w:w="919" w:type="dxa"/>
            <w:tcBorders/>
            <w:vAlign w:val="center"/>
          </w:tcPr>
          <w:p>
            <w:pPr>
              <w:pStyle w:val="TableContents"/>
              <w:bidi w:val="0"/>
              <w:spacing w:before="0" w:after="1"/>
              <w:ind w:left="0" w:right="0" w:hanging="0"/>
              <w:jc w:val="center"/>
              <w:rPr/>
            </w:pPr>
            <w:r>
              <w:rPr/>
              <w:t>​</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  ​</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63,008</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43,760</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63,050</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43,802</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263,273</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229,696</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3,341</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and R&amp;D incentive receivables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5,151</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334,815</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278,192</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192,247</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527,212</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279,929</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pPr>
            <w:r>
              <w:rPr/>
              <w:t>  ​</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11,229</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12,280</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14,997</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noncurrent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34,742</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34,287</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5,761</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5,753</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53,004</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55,037</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pPr>
            <w:r>
              <w:rPr/>
              <w:t>  ​</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pPr>
            <w:r>
              <w:rPr/>
              <w:t>  ​</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$0.0001 par value; 400,000,000 and 200,000,000 shares </w:t>
            </w:r>
            <w:r>
              <w:rPr>
                <w:rFonts w:ascii="Times New Roman;Times;serif" w:hAnsi="Times New Roman;Times;serif"/>
                <w:b w:val="false"/>
                <w:i w:val="false"/>
                <w:caps w:val="false"/>
                <w:smallCaps w:val="false"/>
                <w:sz w:val="20"/>
              </w:rPr>
              <w:t>authorized</w:t>
            </w:r>
            <w:r>
              <w:rPr>
                <w:rFonts w:ascii="Times New Roman;Times;serif" w:hAnsi="Times New Roman;Times;serif"/>
                <w:sz w:val="20"/>
              </w:rPr>
              <w:t xml:space="preserve">; 194,474,154 and </w:t>
            </w:r>
            <w:r>
              <w:rPr>
                <w:rFonts w:ascii="Times New Roman;Times;serif" w:hAnsi="Times New Roman;Times;serif"/>
                <w:b w:val="false"/>
                <w:i w:val="false"/>
                <w:caps w:val="false"/>
                <w:smallCaps w:val="false"/>
                <w:sz w:val="20"/>
              </w:rPr>
              <w:t>110,882,735</w:t>
            </w:r>
            <w:r>
              <w:rPr>
                <w:rFonts w:ascii="Times New Roman;Times;serif" w:hAnsi="Times New Roman;Times;serif"/>
                <w:sz w:val="20"/>
              </w:rPr>
              <w:t xml:space="preserve">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1,175,098</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879,292</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(694,871)</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(649,483)</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(6,038)</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(4,928)</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474,208</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224,892</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527,212</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279,929</w:t>
            </w:r>
          </w:p>
        </w:tc>
      </w:tr>
    </w:tbl>
    <w:p>
      <w:pPr>
        <w:pStyle w:val="TextBody"/>
        <w:bidi w:val="0"/>
        <w:spacing w:before="0" w:after="240"/>
        <w:ind w:left="0" w:right="0" w:hanging="0"/>
        <w:jc w:val="both"/>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7" w:name="_5c3da795_f8b1_41b5_8b67_af31e65a08da"/>
      <w:bookmarkEnd w:id="137"/>
      <w:r>
        <w:rPr>
          <w:rFonts w:ascii="Times New Roman;Times;serif" w:hAnsi="Times New Roman;Times;serif"/>
          <w:b/>
          <w:sz w:val="20"/>
        </w:rPr>
        <w:t>ALTIMMUNE, INC.</w:t>
      </w:r>
    </w:p>
    <w:p>
      <w:pPr>
        <w:pStyle w:val="TextBody"/>
        <w:bidi w:val="0"/>
        <w:spacing w:before="0" w:after="0"/>
        <w:ind w:left="0" w:right="0" w:hanging="0"/>
        <w:jc w:val="center"/>
        <w:rPr>
          <w:rFonts w:ascii="Times New Roman;Times;serif" w:hAnsi="Times New Roman;Times;serif"/>
          <w:b/>
          <w:sz w:val="20"/>
        </w:rPr>
      </w:pPr>
      <w:bookmarkStart w:id="138" w:name="CONSOLIDATEDSTATEMENTSOFOPERATIONSANDCOM"/>
      <w:bookmarkEnd w:id="138"/>
      <w:r>
        <w:rPr>
          <w:rFonts w:ascii="Times New Roman;Times;serif" w:hAnsi="Times New Roman;Times;serif"/>
          <w:b/>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per-share amounts)</w:t>
      </w:r>
    </w:p>
    <w:p>
      <w:pPr>
        <w:pStyle w:val="Normal"/>
        <w:bidi w:val="0"/>
        <w:spacing w:before="0" w:after="0"/>
        <w:jc w:val="left"/>
        <w:rPr>
          <w:sz w:val="4"/>
          <w:szCs w:val="4"/>
        </w:rPr>
      </w:pPr>
      <w:r>
        <w:rPr>
          <w:sz w:val="4"/>
          <w:szCs w:val="4"/>
        </w:rPr>
      </w:r>
      <w:bookmarkStart w:id="139" w:name="Tc_lppW03FUNE6c2G6qL1OJdw_21_0"/>
      <w:bookmarkStart w:id="140" w:name="Tc_EPmDnJTqfUq-8Jgh0Fv3Sw_20_11"/>
      <w:bookmarkStart w:id="141" w:name="Tc_UTDhK4Uuk06aD0yRy4U-rQ_20_8"/>
      <w:bookmarkStart w:id="142" w:name="Tc_n09NmOMOUEW-wiywwsM6sA_20_5"/>
      <w:bookmarkStart w:id="143" w:name="Tc_N1AZG7dz_UaA1Ah_z2geVw_20_2"/>
      <w:bookmarkStart w:id="144" w:name="Tc_xUzVAxQHJUK_2e6aOugD2Q_20_0"/>
      <w:bookmarkStart w:id="145" w:name="Tc_2eP1ymHbk0-5A4vpgHaiyQ_19_11"/>
      <w:bookmarkStart w:id="146" w:name="Tc_gBLgY30COEyHHKuuOSmUqA_19_8"/>
      <w:bookmarkStart w:id="147" w:name="Tc_MGp1ET9TiU2vpNfL25FgIQ_19_5"/>
      <w:bookmarkStart w:id="148" w:name="Tc_Quv3W8phuk-RgG-aQ8Miig_19_2"/>
      <w:bookmarkStart w:id="149" w:name="Tc_r99VdGlbPkmbv3dkgtScvg_19_0"/>
      <w:bookmarkStart w:id="150" w:name="Tc_vBuI5UYF7US_XxZOMKDufg_18_0"/>
      <w:bookmarkStart w:id="151" w:name="Tc_REXdKPEOsUqIxUz-LVBn4g_17_0"/>
      <w:bookmarkStart w:id="152" w:name="Tc_t2CpDkwUm0u2UrVo0FKCDw_16_9"/>
      <w:bookmarkStart w:id="153" w:name="Tc_CXcmqwpcikOrzeRo7PDNmA_16_6"/>
      <w:bookmarkStart w:id="154" w:name="Tc_1t4-1gjsFEyceB5m4mP0dA_16_3"/>
      <w:bookmarkStart w:id="155" w:name="Tc_6MsEcIuCRk2Tzzvv6-E-sQ_16_0"/>
      <w:bookmarkStart w:id="156" w:name="Tc_zzZAk2lpuUyR-U9GkIk5UQ_15_0"/>
      <w:bookmarkStart w:id="157" w:name="Tc_62DdXYJWtk2rtE4IsLYSNA_14_0"/>
      <w:bookmarkStart w:id="158" w:name="Tc_jpp701gwI0OhBjZ1oi53_g_13_0"/>
      <w:bookmarkStart w:id="159" w:name="Tc_nluojJbfL0GSWB34gbEafg_12_0"/>
      <w:bookmarkStart w:id="160" w:name="Tc_anS7r3H-xEK4EKJEBqQrOQ_11_0"/>
      <w:bookmarkStart w:id="161" w:name="Tc_UpnzulOkq0un4q8cqPkHJw_10_0"/>
      <w:bookmarkStart w:id="162" w:name="Tc_W3XtIhnQhk-nI2zyIKxjPg_9_0"/>
      <w:bookmarkStart w:id="163" w:name="Tc_emngyqi6t0CNT8FVHx-Lew_8_0"/>
      <w:bookmarkStart w:id="164" w:name="Tc_guW8LBkGKEyRwhfT2ena1Q_7_0"/>
      <w:bookmarkStart w:id="165" w:name="Tc_1pyUC4XzUEShamGwwBelvQ_6_0"/>
      <w:bookmarkStart w:id="166" w:name="Tc_yr2TgDLDMEyCU-mZA1LJWA_5_0"/>
      <w:bookmarkStart w:id="167" w:name="Tc_uqrei5ae6E6CpD2CA1LWfg_4_11"/>
      <w:bookmarkStart w:id="168" w:name="Tc_P5-SevJgAU6d0IW21ejsag_4_9"/>
      <w:bookmarkStart w:id="169" w:name="Tc_o014WsVpt0CN0OSibwXvwQ_4_8"/>
      <w:bookmarkStart w:id="170" w:name="Tc_YUG89-ABTk27El2a_UvUrg_4_5"/>
      <w:bookmarkStart w:id="171" w:name="Tc_y916RLeQv0a7hkAipS9zwQ_4_3"/>
      <w:bookmarkStart w:id="172" w:name="Tc_WRIAmfLNnki-KsK_boNE4Q_4_2"/>
      <w:bookmarkStart w:id="173" w:name="Tc_RSbgnLYqBEWLsakf79VDJw_4_0"/>
      <w:bookmarkStart w:id="174" w:name="Tc_14i-2WWZq0iQsbbY2W75TA_3_11"/>
      <w:bookmarkStart w:id="175" w:name="Tc_qyWWdofOOEm2kNvaihfaBg_3_8"/>
      <w:bookmarkStart w:id="176" w:name="Tc_kR_kOu6QFUCuzme6WkvOig_3_5"/>
      <w:bookmarkStart w:id="177" w:name="Tc_2H0zBoRUEUSfNKWqq_LgQA_3_2"/>
      <w:bookmarkStart w:id="178" w:name="Tc_n29Ly7yJpkGKBNpoWVXNbw_2_8"/>
      <w:bookmarkStart w:id="179" w:name="Tc_4pSyStubXUysG1OadRXPDw_2_2"/>
      <w:bookmarkStart w:id="180" w:name="Tc_Nz4BTiJMekaWy6_WiXVXrw_1_8"/>
      <w:bookmarkStart w:id="181" w:name="Tc_wcOST2MDIUG7oSuK-VIUZg_1_2"/>
      <w:bookmarkStart w:id="182" w:name="_2beb68dc_70ab_418a_bf10_99b1457d795b"/>
      <w:bookmarkStart w:id="183" w:name="_e3959554_f6ea_408a_b433_117148c990c1"/>
      <w:bookmarkStart w:id="184" w:name="Tc_lppW03FUNE6c2G6qL1OJdw_21_0"/>
      <w:bookmarkStart w:id="185" w:name="Tc_EPmDnJTqfUq-8Jgh0Fv3Sw_20_11"/>
      <w:bookmarkStart w:id="186" w:name="Tc_UTDhK4Uuk06aD0yRy4U-rQ_20_8"/>
      <w:bookmarkStart w:id="187" w:name="Tc_n09NmOMOUEW-wiywwsM6sA_20_5"/>
      <w:bookmarkStart w:id="188" w:name="Tc_N1AZG7dz_UaA1Ah_z2geVw_20_2"/>
      <w:bookmarkStart w:id="189" w:name="Tc_xUzVAxQHJUK_2e6aOugD2Q_20_0"/>
      <w:bookmarkStart w:id="190" w:name="Tc_2eP1ymHbk0-5A4vpgHaiyQ_19_11"/>
      <w:bookmarkStart w:id="191" w:name="Tc_gBLgY30COEyHHKuuOSmUqA_19_8"/>
      <w:bookmarkStart w:id="192" w:name="Tc_MGp1ET9TiU2vpNfL25FgIQ_19_5"/>
      <w:bookmarkStart w:id="193" w:name="Tc_Quv3W8phuk-RgG-aQ8Miig_19_2"/>
      <w:bookmarkStart w:id="194" w:name="Tc_r99VdGlbPkmbv3dkgtScvg_19_0"/>
      <w:bookmarkStart w:id="195" w:name="Tc_vBuI5UYF7US_XxZOMKDufg_18_0"/>
      <w:bookmarkStart w:id="196" w:name="Tc_REXdKPEOsUqIxUz-LVBn4g_17_0"/>
      <w:bookmarkStart w:id="197" w:name="Tc_t2CpDkwUm0u2UrVo0FKCDw_16_9"/>
      <w:bookmarkStart w:id="198" w:name="Tc_CXcmqwpcikOrzeRo7PDNmA_16_6"/>
      <w:bookmarkStart w:id="199" w:name="Tc_1t4-1gjsFEyceB5m4mP0dA_16_3"/>
      <w:bookmarkStart w:id="200" w:name="Tc_6MsEcIuCRk2Tzzvv6-E-sQ_16_0"/>
      <w:bookmarkStart w:id="201" w:name="Tc_zzZAk2lpuUyR-U9GkIk5UQ_15_0"/>
      <w:bookmarkStart w:id="202" w:name="Tc_62DdXYJWtk2rtE4IsLYSNA_14_0"/>
      <w:bookmarkStart w:id="203" w:name="Tc_jpp701gwI0OhBjZ1oi53_g_13_0"/>
      <w:bookmarkStart w:id="204" w:name="Tc_nluojJbfL0GSWB34gbEafg_12_0"/>
      <w:bookmarkStart w:id="205" w:name="Tc_anS7r3H-xEK4EKJEBqQrOQ_11_0"/>
      <w:bookmarkStart w:id="206" w:name="Tc_UpnzulOkq0un4q8cqPkHJw_10_0"/>
      <w:bookmarkStart w:id="207" w:name="Tc_W3XtIhnQhk-nI2zyIKxjPg_9_0"/>
      <w:bookmarkStart w:id="208" w:name="Tc_emngyqi6t0CNT8FVHx-Lew_8_0"/>
      <w:bookmarkStart w:id="209" w:name="Tc_guW8LBkGKEyRwhfT2ena1Q_7_0"/>
      <w:bookmarkStart w:id="210" w:name="Tc_1pyUC4XzUEShamGwwBelvQ_6_0"/>
      <w:bookmarkStart w:id="211" w:name="Tc_yr2TgDLDMEyCU-mZA1LJWA_5_0"/>
      <w:bookmarkStart w:id="212" w:name="Tc_uqrei5ae6E6CpD2CA1LWfg_4_11"/>
      <w:bookmarkStart w:id="213" w:name="Tc_P5-SevJgAU6d0IW21ejsag_4_9"/>
      <w:bookmarkStart w:id="214" w:name="Tc_o014WsVpt0CN0OSibwXvwQ_4_8"/>
      <w:bookmarkStart w:id="215" w:name="Tc_YUG89-ABTk27El2a_UvUrg_4_5"/>
      <w:bookmarkStart w:id="216" w:name="Tc_y916RLeQv0a7hkAipS9zwQ_4_3"/>
      <w:bookmarkStart w:id="217" w:name="Tc_WRIAmfLNnki-KsK_boNE4Q_4_2"/>
      <w:bookmarkStart w:id="218" w:name="Tc_RSbgnLYqBEWLsakf79VDJw_4_0"/>
      <w:bookmarkStart w:id="219" w:name="Tc_14i-2WWZq0iQsbbY2W75TA_3_11"/>
      <w:bookmarkStart w:id="220" w:name="Tc_qyWWdofOOEm2kNvaihfaBg_3_8"/>
      <w:bookmarkStart w:id="221" w:name="Tc_kR_kOu6QFUCuzme6WkvOig_3_5"/>
      <w:bookmarkStart w:id="222" w:name="Tc_2H0zBoRUEUSfNKWqq_LgQA_3_2"/>
      <w:bookmarkStart w:id="223" w:name="Tc_n29Ly7yJpkGKBNpoWVXNbw_2_8"/>
      <w:bookmarkStart w:id="224" w:name="Tc_4pSyStubXUysG1OadRXPDw_2_2"/>
      <w:bookmarkStart w:id="225" w:name="Tc_Nz4BTiJMekaWy6_WiXVXrw_1_8"/>
      <w:bookmarkStart w:id="226" w:name="Tc_wcOST2MDIUG7oSuK-VIUZg_1_2"/>
      <w:bookmarkStart w:id="227" w:name="_2beb68dc_70ab_418a_bf10_99b1457d795b"/>
      <w:bookmarkStart w:id="228" w:name="_e3959554_f6ea_408a_b433_117148c990c1"/>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tbl>
      <w:tblPr>
        <w:tblW w:w="10205" w:type="dxa"/>
        <w:jc w:val="left"/>
        <w:tblInd w:w="0" w:type="dxa"/>
        <w:tblLayout w:type="fixed"/>
        <w:tblCellMar>
          <w:top w:w="0" w:type="dxa"/>
          <w:left w:w="0" w:type="dxa"/>
          <w:bottom w:w="0" w:type="dxa"/>
          <w:right w:w="0" w:type="dxa"/>
        </w:tblCellMar>
      </w:tblPr>
      <w:tblGrid>
        <w:gridCol w:w="3755"/>
        <w:gridCol w:w="109"/>
        <w:gridCol w:w="211"/>
        <w:gridCol w:w="1141"/>
        <w:gridCol w:w="346"/>
        <w:gridCol w:w="211"/>
        <w:gridCol w:w="1036"/>
        <w:gridCol w:w="346"/>
        <w:gridCol w:w="211"/>
        <w:gridCol w:w="1141"/>
        <w:gridCol w:w="346"/>
        <w:gridCol w:w="211"/>
        <w:gridCol w:w="1141"/>
      </w:tblGrid>
      <w:tr>
        <w:trPr/>
        <w:tc>
          <w:tcPr>
            <w:tcW w:w="3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84425" cy="175260"/>
                      <wp:effectExtent l="0" t="0" r="0" b="0"/>
                      <wp:wrapNone/>
                      <wp:docPr id="9" name="Frame8"/>
                      <a:graphic xmlns:a="http://schemas.openxmlformats.org/drawingml/2006/main">
                        <a:graphicData uri="http://schemas.microsoft.com/office/word/2010/wordprocessingShape">
                          <wps:wsp>
                            <wps:cNvSpPr txBox="1"/>
                            <wps:spPr>
                              <a:xfrm>
                                <a:off x="0" y="0"/>
                                <a:ext cx="2384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4535" cy="175260"/>
                      <wp:effectExtent l="0" t="0" r="0" b="0"/>
                      <wp:wrapNone/>
                      <wp:docPr id="12" name="Frame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0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33,063</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11,684</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44,747</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(44,737)</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(42,402)</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(41,721)</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 unrealized loss 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(22,182)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(41,787)</w:t>
            </w:r>
          </w:p>
        </w:tc>
      </w:tr>
      <w:tr>
        <w:trPr/>
        <w:tc>
          <w:tcPr>
            <w:tcW w:w="37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37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basic and diluted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185,443,736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81,477,548</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155,121,235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78,529,028</w:t>
            </w:r>
          </w:p>
        </w:tc>
      </w:tr>
    </w:tbl>
    <w:p>
      <w:pPr>
        <w:pStyle w:val="TextBody"/>
        <w:bidi w:val="0"/>
        <w:spacing w:before="0" w:after="240"/>
        <w:ind w:left="0" w:right="0" w:hanging="0"/>
        <w:jc w:val="both"/>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 unaudited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29" w:name="_0fd85b9f_89ea_4bcd_84ec_a173c7474ef9"/>
      <w:bookmarkEnd w:id="229"/>
      <w:r>
        <w:rPr>
          <w:rFonts w:ascii="Times New Roman;Times;serif" w:hAnsi="Times New Roman;Times;serif"/>
          <w:b/>
          <w:sz w:val="20"/>
        </w:rPr>
        <w:t>ALTIMMUNE, INC.</w:t>
      </w:r>
    </w:p>
    <w:p>
      <w:pPr>
        <w:pStyle w:val="TextBody"/>
        <w:bidi w:val="0"/>
        <w:spacing w:before="0" w:after="0"/>
        <w:ind w:left="0" w:right="0" w:hanging="0"/>
        <w:jc w:val="center"/>
        <w:rPr>
          <w:rFonts w:ascii="Times New Roman;Times;serif" w:hAnsi="Times New Roman;Times;serif"/>
          <w:b/>
          <w:sz w:val="20"/>
        </w:rPr>
      </w:pPr>
      <w:bookmarkStart w:id="230" w:name="CONSOLIDATEDSTATEMENTSOFCHANGESINSTOCKHO"/>
      <w:bookmarkEnd w:id="230"/>
      <w:r>
        <w:rPr>
          <w:rFonts w:ascii="Times New Roman;Times;serif" w:hAnsi="Times New Roman;Times;serif"/>
          <w:b/>
          <w:sz w:val="20"/>
        </w:rPr>
        <w:t>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231" w:name="Tc_doYD_i46okW8F3IiiPHDbQ_22_16"/>
      <w:bookmarkStart w:id="232" w:name="Tc_UxQ1XPyOWkOWr3RbI3koPw_22_13"/>
      <w:bookmarkStart w:id="233" w:name="Tc_utXAm1Pnu0Cp_rGvsIqFug_22_10"/>
      <w:bookmarkStart w:id="234" w:name="Tc_3vts5OJuUkq83nCT3yuSug_22_7"/>
      <w:bookmarkStart w:id="235" w:name="Tc_NvZAZwPgLkeSNIsXL-WfLg_22_4"/>
      <w:bookmarkStart w:id="236" w:name="Tc__4wqT1Bx40G4domkVJaHeQ_22_0"/>
      <w:bookmarkStart w:id="237" w:name="Tc_Ymac2HlpZkuTPVoYtfClWg_21_14"/>
      <w:bookmarkStart w:id="238" w:name="Tc_aMwl2Kolsky7X9d6EhuFWg_21_8"/>
      <w:bookmarkStart w:id="239" w:name="Tc_NBt9lqX8O06oJu99yrbdJg_21_5"/>
      <w:bookmarkStart w:id="240" w:name="Tc_EuSTGIOWs0GLYSGoP3BpEA_21_2"/>
      <w:bookmarkStart w:id="241" w:name="Tc_FmtQEQ1dC0mmMElWfYfEZA_21_0"/>
      <w:bookmarkStart w:id="242" w:name="Tc_BRljBnDkVUCwpyFSPRnT_g_20_11"/>
      <w:bookmarkStart w:id="243" w:name="Tc_qVGYtWxTdECRKfeNpCmu3g_20_8"/>
      <w:bookmarkStart w:id="244" w:name="Tc_jD2mKyvO30KM9CITDEopZg_20_5"/>
      <w:bookmarkStart w:id="245" w:name="Tc_j2lYC4sC60aEAz3nnQpPhw_20_2"/>
      <w:bookmarkStart w:id="246" w:name="Tc_Omy5j8JacEmj83AklF-TJQ_20_0"/>
      <w:bookmarkStart w:id="247" w:name="Tc_SQ-m28hqqkK12PAlz603MQ_19_14"/>
      <w:bookmarkStart w:id="248" w:name="Tc_sUZAsagmTESqv2wWLr2gGg_19_11"/>
      <w:bookmarkStart w:id="249" w:name="Tc_Sbf2CAzU3kKaiT4UDbceqw_19_5"/>
      <w:bookmarkStart w:id="250" w:name="Tc_05MrQOQ7jkqLxLwHSjCf6w_19_2"/>
      <w:bookmarkStart w:id="251" w:name="Tc_M45n4FoSjkePQvP8hP8wRg_19_0"/>
      <w:bookmarkStart w:id="252" w:name="Tc_QebQYCRJA0yclygzMyV9oQ_18_14"/>
      <w:bookmarkStart w:id="253" w:name="Tc_HlPROtEjo02Bi8DzlKMF4w_18_11"/>
      <w:bookmarkStart w:id="254" w:name="Tc_XeeKrJK9C0yZ0G8CR5meWw_18_0"/>
      <w:bookmarkStart w:id="255" w:name="Tc_Z0WIMQZsHUuPZfU029TCfQ_17_14"/>
      <w:bookmarkStart w:id="256" w:name="Tc_aK5HGYHwgkaKRk4kr_pfHQ_17_11"/>
      <w:bookmarkStart w:id="257" w:name="Tc_jbAMADoR8UK9T3ywGMZJQw_17_5"/>
      <w:bookmarkStart w:id="258" w:name="Tc_twkgJWZjVEqbpDFIYzfnFw_17_0"/>
      <w:bookmarkStart w:id="259" w:name="Tc_Lc8TW3fYaU-ipIpv4QR2lw_16_16"/>
      <w:bookmarkStart w:id="260" w:name="Tc_21NbQuU_tkKP81sxPy7r0A_16_14"/>
      <w:bookmarkStart w:id="261" w:name="Tc_C43Wbli0E06viB-KgLobOw_16_13"/>
      <w:bookmarkStart w:id="262" w:name="Tc_GtFKLzxNu02BjFi_hb8w7g_16_11"/>
      <w:bookmarkStart w:id="263" w:name="Tc_5MK-7He1o0mdFx61IhHHVQ_16_10"/>
      <w:bookmarkStart w:id="264" w:name="Tc_U9ylRXnQhUGPgtx-ymussw_16_7"/>
      <w:bookmarkStart w:id="265" w:name="Tc_EReaSWUF6EOAW2AfENnq9g_16_5"/>
      <w:bookmarkStart w:id="266" w:name="Tc_MIL4n4mUb0WTwxgrfkcdYQ_16_4"/>
      <w:bookmarkStart w:id="267" w:name="Tc_xjiX-iy2Y0Wm36BZUBAQwA_16_2"/>
      <w:bookmarkStart w:id="268" w:name="Tc_DOEnrQk5302fsTGhw2JjpA_16_0"/>
      <w:bookmarkStart w:id="269" w:name="Tc_edeu4PLP30iHjS4XBekSaQ_15_16"/>
      <w:bookmarkStart w:id="270" w:name="Tc_jgiLJ6NLx0SzdM7gK9Jrzw_15_13"/>
      <w:bookmarkStart w:id="271" w:name="Tc_bS9hXmkWj0C_T4G5SZUgfA_15_10"/>
      <w:bookmarkStart w:id="272" w:name="Tc_WvLKuA6FnEuU_gy0cjCsNg_15_7"/>
      <w:bookmarkStart w:id="273" w:name="Tc_O5Rn0aGrcEGQUc6LOUXZcA_15_4"/>
      <w:bookmarkStart w:id="274" w:name="Tc_UTOd9d2KjEWVSODqzYONTQ_15_0"/>
      <w:bookmarkStart w:id="275" w:name="Tc_nRN4aN55ZEGLSW4KaUA2Yw_14_14"/>
      <w:bookmarkStart w:id="276" w:name="Tc_dA-MYEhDFkWzEqhmzTWuqQ_14_8"/>
      <w:bookmarkStart w:id="277" w:name="Tc_OD7LbusMAk-0SChHIOnKBw_14_5"/>
      <w:bookmarkStart w:id="278" w:name="Tc_Gm92WbTTvEiBsPpbLNeyMA_14_2"/>
      <w:bookmarkStart w:id="279" w:name="Tc_eN7Bw1Zm2UWDKj87jpLFvw_14_0"/>
      <w:bookmarkStart w:id="280" w:name="Tc_Wkd5JguECUS3ip5E8ZuhhQ_13_11"/>
      <w:bookmarkStart w:id="281" w:name="Tc_lnxbLuD3RE-H4_k5LQdTcg_13_8"/>
      <w:bookmarkStart w:id="282" w:name="Tc_cYzkPmUGMEaaeq7wTKwQOA_13_5"/>
      <w:bookmarkStart w:id="283" w:name="Tc_8UQupF4Opk2XmcOPors5vA_13_2"/>
      <w:bookmarkStart w:id="284" w:name="Tc_oWO3k7xfWEWNJDt3ItoJUw_13_0"/>
      <w:bookmarkStart w:id="285" w:name="Tc_RhiU_ksTvUq9frhuyP1P2Q_12_14"/>
      <w:bookmarkStart w:id="286" w:name="Tc_qVnbbaK1jEKym2Uepf-5CA_12_11"/>
      <w:bookmarkStart w:id="287" w:name="Tc_Iaf1cGwYa0uAoGu0mkIyCA_12_0"/>
      <w:bookmarkStart w:id="288" w:name="Tc_TwnomTJj1ESHWBr0Dp8R2Q_11_14"/>
      <w:bookmarkStart w:id="289" w:name="Tc_FF8zBV1QCEWZzyrakLB6Sw_11_11"/>
      <w:bookmarkStart w:id="290" w:name="Tc_MuoSSQRxgE2VScwimsyC9g_11_0"/>
      <w:bookmarkStart w:id="291" w:name="Tc_R-jM3s-k50CpVxHedoNCIQ_10_14"/>
      <w:bookmarkStart w:id="292" w:name="Tc_B3KdWXmcVEqYE3TxiBX9uA_10_11"/>
      <w:bookmarkStart w:id="293" w:name="Tc_Fvy2Su0yJkChnAsxS10CEw_10_5"/>
      <w:bookmarkStart w:id="294" w:name="Tc_oKk77jB35kuXUzJFwVL5_A_10_0"/>
      <w:bookmarkStart w:id="295" w:name="Tc_HZBbXTsLeUyQbVUr2kld8Q_9_14"/>
      <w:bookmarkStart w:id="296" w:name="Tc_4TgtvLz5QE6V9tqgNLDAxg_9_11"/>
      <w:bookmarkStart w:id="297" w:name="Tc_ftjb6seYz0ufC6WulN0uvQ_9_5"/>
      <w:bookmarkStart w:id="298" w:name="Tc_mEcAnkqvL0q71Ger3UESOA_9_0"/>
      <w:bookmarkStart w:id="299" w:name="Tc_I2I7B_jWuUGsbaTrPf6JfA_8_14"/>
      <w:bookmarkStart w:id="300" w:name="Tc_S08ynCMSi0WjPdXnAzWrSw_8_11"/>
      <w:bookmarkStart w:id="301" w:name="Tc_A4SYNnZOsUKamVi3Y3b_SA_8_5"/>
      <w:bookmarkStart w:id="302" w:name="Tc_b3SR_RQnIUOrDYnw1zpduQ_8_0"/>
      <w:bookmarkStart w:id="303" w:name="Tc_cv-5TmmA0U6dO3xrY1IVIw_7_14"/>
      <w:bookmarkStart w:id="304" w:name="Tc_FGuSYgjOfUKdXF342rLFTg_7_11"/>
      <w:bookmarkStart w:id="305" w:name="Tc_v9LMSSL7oUqnIE5njoFDkQ_7_5"/>
      <w:bookmarkStart w:id="306" w:name="Tc_01wVm-3nqk-eBoHiOEcv8g_7_0"/>
      <w:bookmarkStart w:id="307" w:name="Tc_JsJiulHz9kCkpwk7Pe2o5w_6_14"/>
      <w:bookmarkStart w:id="308" w:name="Tc_Qjj85kMWTEWIkvSc0-22-A_6_11"/>
      <w:bookmarkStart w:id="309" w:name="Tc_QJKx63_hM0K2zWrWMo9c-Q_6_5"/>
      <w:bookmarkStart w:id="310" w:name="Tc_HaDKhKNipkeddL-M6XsujQ_6_2"/>
      <w:bookmarkStart w:id="311" w:name="Tc_6aOkG-pPPEyMiFseCzEOIw_6_0"/>
      <w:bookmarkStart w:id="312" w:name="Tc_gnPQJg4gV0esv5WpVWnywA_5_16"/>
      <w:bookmarkStart w:id="313" w:name="Tc_xWZVe9zZ80WiMhrQIYzx2g_5_13"/>
      <w:bookmarkStart w:id="314" w:name="Tc_Lu5En64RG0OTfltoHdunnw_5_10"/>
      <w:bookmarkStart w:id="315" w:name="Tc_apbDm2-N7kaxhyhoeSGksw_5_7"/>
      <w:bookmarkStart w:id="316" w:name="Tc_2Bl9q348c02Ql5xuBvRjSQ_5_4"/>
      <w:bookmarkStart w:id="317" w:name="Tc_LvVlQFmBzkGIwt5-MlVrrQ_5_0"/>
      <w:bookmarkStart w:id="318" w:name="Tc_NiIAyRV0uUOCJYHVHSPWPQ_4_16"/>
      <w:bookmarkStart w:id="319" w:name="Tc_VI5DYH5ABU6rf5YhIQmKYg_4_13"/>
      <w:bookmarkStart w:id="320" w:name="Tc_UrNBRcL37UizK553Lz0k5g_4_10"/>
      <w:bookmarkStart w:id="321" w:name="Tc_xOYb5s5AuE2ZELJX-v4mmw_4_7"/>
      <w:bookmarkStart w:id="322" w:name="Tc_lsa0KLEcn0qOZLhR4MObuA_4_4"/>
      <w:bookmarkStart w:id="323" w:name="Tc_EGK9Gqc7jkejwwaDtceTOg_4_2"/>
      <w:bookmarkStart w:id="324" w:name="Tc_WKGfPqmCc0-9ApOKI048vQ_3_16"/>
      <w:bookmarkStart w:id="325" w:name="Tc_A6fzbxMPNE-ddAt09yzRcA_3_13"/>
      <w:bookmarkStart w:id="326" w:name="Tc_JGncCnvJp0-xCl9Hi1qB7A_3_10"/>
      <w:bookmarkStart w:id="327" w:name="Tc_CU_AeIGnlEOtUP3lFmXUZw_3_7"/>
      <w:bookmarkStart w:id="328" w:name="Tc_-xCZ2e4gn0CvIaHpLTzmkA_3_2"/>
      <w:bookmarkStart w:id="329" w:name="Tc_GgvrmxTL3ES9zHvEN31-gw_2_16"/>
      <w:bookmarkStart w:id="330" w:name="Tc_FxWauJ5q3kCUYP6D0hw1DA_2_13"/>
      <w:bookmarkStart w:id="331" w:name="Tc__dK7pw3UAUiadgfpycsPcQ_2_7"/>
      <w:bookmarkStart w:id="332" w:name="Tc_OYOvD5Fn9ki869ei9cMjzg_1_13"/>
      <w:bookmarkStart w:id="333" w:name="_b8345b4a_4f74_4a4b_bf3c_a5395e1e880a"/>
      <w:bookmarkStart w:id="334" w:name="Tc_doYD_i46okW8F3IiiPHDbQ_22_16"/>
      <w:bookmarkStart w:id="335" w:name="Tc_UxQ1XPyOWkOWr3RbI3koPw_22_13"/>
      <w:bookmarkStart w:id="336" w:name="Tc_utXAm1Pnu0Cp_rGvsIqFug_22_10"/>
      <w:bookmarkStart w:id="337" w:name="Tc_3vts5OJuUkq83nCT3yuSug_22_7"/>
      <w:bookmarkStart w:id="338" w:name="Tc_NvZAZwPgLkeSNIsXL-WfLg_22_4"/>
      <w:bookmarkStart w:id="339" w:name="Tc__4wqT1Bx40G4domkVJaHeQ_22_0"/>
      <w:bookmarkStart w:id="340" w:name="Tc_Ymac2HlpZkuTPVoYtfClWg_21_14"/>
      <w:bookmarkStart w:id="341" w:name="Tc_aMwl2Kolsky7X9d6EhuFWg_21_8"/>
      <w:bookmarkStart w:id="342" w:name="Tc_NBt9lqX8O06oJu99yrbdJg_21_5"/>
      <w:bookmarkStart w:id="343" w:name="Tc_EuSTGIOWs0GLYSGoP3BpEA_21_2"/>
      <w:bookmarkStart w:id="344" w:name="Tc_FmtQEQ1dC0mmMElWfYfEZA_21_0"/>
      <w:bookmarkStart w:id="345" w:name="Tc_BRljBnDkVUCwpyFSPRnT_g_20_11"/>
      <w:bookmarkStart w:id="346" w:name="Tc_qVGYtWxTdECRKfeNpCmu3g_20_8"/>
      <w:bookmarkStart w:id="347" w:name="Tc_jD2mKyvO30KM9CITDEopZg_20_5"/>
      <w:bookmarkStart w:id="348" w:name="Tc_j2lYC4sC60aEAz3nnQpPhw_20_2"/>
      <w:bookmarkStart w:id="349" w:name="Tc_Omy5j8JacEmj83AklF-TJQ_20_0"/>
      <w:bookmarkStart w:id="350" w:name="Tc_SQ-m28hqqkK12PAlz603MQ_19_14"/>
      <w:bookmarkStart w:id="351" w:name="Tc_sUZAsagmTESqv2wWLr2gGg_19_11"/>
      <w:bookmarkStart w:id="352" w:name="Tc_Sbf2CAzU3kKaiT4UDbceqw_19_5"/>
      <w:bookmarkStart w:id="353" w:name="Tc_05MrQOQ7jkqLxLwHSjCf6w_19_2"/>
      <w:bookmarkStart w:id="354" w:name="Tc_M45n4FoSjkePQvP8hP8wRg_19_0"/>
      <w:bookmarkStart w:id="355" w:name="Tc_QebQYCRJA0yclygzMyV9oQ_18_14"/>
      <w:bookmarkStart w:id="356" w:name="Tc_HlPROtEjo02Bi8DzlKMF4w_18_11"/>
      <w:bookmarkStart w:id="357" w:name="Tc_XeeKrJK9C0yZ0G8CR5meWw_18_0"/>
      <w:bookmarkStart w:id="358" w:name="Tc_Z0WIMQZsHUuPZfU029TCfQ_17_14"/>
      <w:bookmarkStart w:id="359" w:name="Tc_aK5HGYHwgkaKRk4kr_pfHQ_17_11"/>
      <w:bookmarkStart w:id="360" w:name="Tc_jbAMADoR8UK9T3ywGMZJQw_17_5"/>
      <w:bookmarkStart w:id="361" w:name="Tc_twkgJWZjVEqbpDFIYzfnFw_17_0"/>
      <w:bookmarkStart w:id="362" w:name="Tc_Lc8TW3fYaU-ipIpv4QR2lw_16_16"/>
      <w:bookmarkStart w:id="363" w:name="Tc_21NbQuU_tkKP81sxPy7r0A_16_14"/>
      <w:bookmarkStart w:id="364" w:name="Tc_C43Wbli0E06viB-KgLobOw_16_13"/>
      <w:bookmarkStart w:id="365" w:name="Tc_GtFKLzxNu02BjFi_hb8w7g_16_11"/>
      <w:bookmarkStart w:id="366" w:name="Tc_5MK-7He1o0mdFx61IhHHVQ_16_10"/>
      <w:bookmarkStart w:id="367" w:name="Tc_U9ylRXnQhUGPgtx-ymussw_16_7"/>
      <w:bookmarkStart w:id="368" w:name="Tc_EReaSWUF6EOAW2AfENnq9g_16_5"/>
      <w:bookmarkStart w:id="369" w:name="Tc_MIL4n4mUb0WTwxgrfkcdYQ_16_4"/>
      <w:bookmarkStart w:id="370" w:name="Tc_xjiX-iy2Y0Wm36BZUBAQwA_16_2"/>
      <w:bookmarkStart w:id="371" w:name="Tc_DOEnrQk5302fsTGhw2JjpA_16_0"/>
      <w:bookmarkStart w:id="372" w:name="Tc_edeu4PLP30iHjS4XBekSaQ_15_16"/>
      <w:bookmarkStart w:id="373" w:name="Tc_jgiLJ6NLx0SzdM7gK9Jrzw_15_13"/>
      <w:bookmarkStart w:id="374" w:name="Tc_bS9hXmkWj0C_T4G5SZUgfA_15_10"/>
      <w:bookmarkStart w:id="375" w:name="Tc_WvLKuA6FnEuU_gy0cjCsNg_15_7"/>
      <w:bookmarkStart w:id="376" w:name="Tc_O5Rn0aGrcEGQUc6LOUXZcA_15_4"/>
      <w:bookmarkStart w:id="377" w:name="Tc_UTOd9d2KjEWVSODqzYONTQ_15_0"/>
      <w:bookmarkStart w:id="378" w:name="Tc_nRN4aN55ZEGLSW4KaUA2Yw_14_14"/>
      <w:bookmarkStart w:id="379" w:name="Tc_dA-MYEhDFkWzEqhmzTWuqQ_14_8"/>
      <w:bookmarkStart w:id="380" w:name="Tc_OD7LbusMAk-0SChHIOnKBw_14_5"/>
      <w:bookmarkStart w:id="381" w:name="Tc_Gm92WbTTvEiBsPpbLNeyMA_14_2"/>
      <w:bookmarkStart w:id="382" w:name="Tc_eN7Bw1Zm2UWDKj87jpLFvw_14_0"/>
      <w:bookmarkStart w:id="383" w:name="Tc_Wkd5JguECUS3ip5E8ZuhhQ_13_11"/>
      <w:bookmarkStart w:id="384" w:name="Tc_lnxbLuD3RE-H4_k5LQdTcg_13_8"/>
      <w:bookmarkStart w:id="385" w:name="Tc_cYzkPmUGMEaaeq7wTKwQOA_13_5"/>
      <w:bookmarkStart w:id="386" w:name="Tc_8UQupF4Opk2XmcOPors5vA_13_2"/>
      <w:bookmarkStart w:id="387" w:name="Tc_oWO3k7xfWEWNJDt3ItoJUw_13_0"/>
      <w:bookmarkStart w:id="388" w:name="Tc_RhiU_ksTvUq9frhuyP1P2Q_12_14"/>
      <w:bookmarkStart w:id="389" w:name="Tc_qVnbbaK1jEKym2Uepf-5CA_12_11"/>
      <w:bookmarkStart w:id="390" w:name="Tc_Iaf1cGwYa0uAoGu0mkIyCA_12_0"/>
      <w:bookmarkStart w:id="391" w:name="Tc_TwnomTJj1ESHWBr0Dp8R2Q_11_14"/>
      <w:bookmarkStart w:id="392" w:name="Tc_FF8zBV1QCEWZzyrakLB6Sw_11_11"/>
      <w:bookmarkStart w:id="393" w:name="Tc_MuoSSQRxgE2VScwimsyC9g_11_0"/>
      <w:bookmarkStart w:id="394" w:name="Tc_R-jM3s-k50CpVxHedoNCIQ_10_14"/>
      <w:bookmarkStart w:id="395" w:name="Tc_B3KdWXmcVEqYE3TxiBX9uA_10_11"/>
      <w:bookmarkStart w:id="396" w:name="Tc_Fvy2Su0yJkChnAsxS10CEw_10_5"/>
      <w:bookmarkStart w:id="397" w:name="Tc_oKk77jB35kuXUzJFwVL5_A_10_0"/>
      <w:bookmarkStart w:id="398" w:name="Tc_HZBbXTsLeUyQbVUr2kld8Q_9_14"/>
      <w:bookmarkStart w:id="399" w:name="Tc_4TgtvLz5QE6V9tqgNLDAxg_9_11"/>
      <w:bookmarkStart w:id="400" w:name="Tc_ftjb6seYz0ufC6WulN0uvQ_9_5"/>
      <w:bookmarkStart w:id="401" w:name="Tc_mEcAnkqvL0q71Ger3UESOA_9_0"/>
      <w:bookmarkStart w:id="402" w:name="Tc_I2I7B_jWuUGsbaTrPf6JfA_8_14"/>
      <w:bookmarkStart w:id="403" w:name="Tc_S08ynCMSi0WjPdXnAzWrSw_8_11"/>
      <w:bookmarkStart w:id="404" w:name="Tc_A4SYNnZOsUKamVi3Y3b_SA_8_5"/>
      <w:bookmarkStart w:id="405" w:name="Tc_b3SR_RQnIUOrDYnw1zpduQ_8_0"/>
      <w:bookmarkStart w:id="406" w:name="Tc_cv-5TmmA0U6dO3xrY1IVIw_7_14"/>
      <w:bookmarkStart w:id="407" w:name="Tc_FGuSYgjOfUKdXF342rLFTg_7_11"/>
      <w:bookmarkStart w:id="408" w:name="Tc_v9LMSSL7oUqnIE5njoFDkQ_7_5"/>
      <w:bookmarkStart w:id="409" w:name="Tc_01wVm-3nqk-eBoHiOEcv8g_7_0"/>
      <w:bookmarkStart w:id="410" w:name="Tc_JsJiulHz9kCkpwk7Pe2o5w_6_14"/>
      <w:bookmarkStart w:id="411" w:name="Tc_Qjj85kMWTEWIkvSc0-22-A_6_11"/>
      <w:bookmarkStart w:id="412" w:name="Tc_QJKx63_hM0K2zWrWMo9c-Q_6_5"/>
      <w:bookmarkStart w:id="413" w:name="Tc_HaDKhKNipkeddL-M6XsujQ_6_2"/>
      <w:bookmarkStart w:id="414" w:name="Tc_6aOkG-pPPEyMiFseCzEOIw_6_0"/>
      <w:bookmarkStart w:id="415" w:name="Tc_gnPQJg4gV0esv5WpVWnywA_5_16"/>
      <w:bookmarkStart w:id="416" w:name="Tc_xWZVe9zZ80WiMhrQIYzx2g_5_13"/>
      <w:bookmarkStart w:id="417" w:name="Tc_Lu5En64RG0OTfltoHdunnw_5_10"/>
      <w:bookmarkStart w:id="418" w:name="Tc_apbDm2-N7kaxhyhoeSGksw_5_7"/>
      <w:bookmarkStart w:id="419" w:name="Tc_2Bl9q348c02Ql5xuBvRjSQ_5_4"/>
      <w:bookmarkStart w:id="420" w:name="Tc_LvVlQFmBzkGIwt5-MlVrrQ_5_0"/>
      <w:bookmarkStart w:id="421" w:name="Tc_NiIAyRV0uUOCJYHVHSPWPQ_4_16"/>
      <w:bookmarkStart w:id="422" w:name="Tc_VI5DYH5ABU6rf5YhIQmKYg_4_13"/>
      <w:bookmarkStart w:id="423" w:name="Tc_UrNBRcL37UizK553Lz0k5g_4_10"/>
      <w:bookmarkStart w:id="424" w:name="Tc_xOYb5s5AuE2ZELJX-v4mmw_4_7"/>
      <w:bookmarkStart w:id="425" w:name="Tc_lsa0KLEcn0qOZLhR4MObuA_4_4"/>
      <w:bookmarkStart w:id="426" w:name="Tc_EGK9Gqc7jkejwwaDtceTOg_4_2"/>
      <w:bookmarkStart w:id="427" w:name="Tc_WKGfPqmCc0-9ApOKI048vQ_3_16"/>
      <w:bookmarkStart w:id="428" w:name="Tc_A6fzbxMPNE-ddAt09yzRcA_3_13"/>
      <w:bookmarkStart w:id="429" w:name="Tc_JGncCnvJp0-xCl9Hi1qB7A_3_10"/>
      <w:bookmarkStart w:id="430" w:name="Tc_CU_AeIGnlEOtUP3lFmXUZw_3_7"/>
      <w:bookmarkStart w:id="431" w:name="Tc_-xCZ2e4gn0CvIaHpLTzmkA_3_2"/>
      <w:bookmarkStart w:id="432" w:name="Tc_GgvrmxTL3ES9zHvEN31-gw_2_16"/>
      <w:bookmarkStart w:id="433" w:name="Tc_FxWauJ5q3kCUYP6D0hw1DA_2_13"/>
      <w:bookmarkStart w:id="434" w:name="Tc__dK7pw3UAUiadgfpycsPcQ_2_7"/>
      <w:bookmarkStart w:id="435" w:name="Tc_OYOvD5Fn9ki869ei9cMjzg_1_13"/>
      <w:bookmarkStart w:id="436" w:name="_b8345b4a_4f74_4a4b_bf3c_a5395e1e880a"/>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tbl>
      <w:tblPr>
        <w:tblW w:w="10205" w:type="dxa"/>
        <w:jc w:val="left"/>
        <w:tblInd w:w="0" w:type="dxa"/>
        <w:tblLayout w:type="fixed"/>
        <w:tblCellMar>
          <w:top w:w="0" w:type="dxa"/>
          <w:left w:w="0" w:type="dxa"/>
          <w:bottom w:w="0" w:type="dxa"/>
          <w:right w:w="0" w:type="dxa"/>
        </w:tblCellMar>
      </w:tblPr>
      <w:tblGrid>
        <w:gridCol w:w="1982"/>
        <w:gridCol w:w="346"/>
        <w:gridCol w:w="1141"/>
        <w:gridCol w:w="146"/>
        <w:gridCol w:w="261"/>
        <w:gridCol w:w="430"/>
        <w:gridCol w:w="346"/>
        <w:gridCol w:w="211"/>
        <w:gridCol w:w="931"/>
        <w:gridCol w:w="346"/>
        <w:gridCol w:w="211"/>
        <w:gridCol w:w="845"/>
        <w:gridCol w:w="346"/>
        <w:gridCol w:w="304"/>
        <w:gridCol w:w="912"/>
        <w:gridCol w:w="346"/>
        <w:gridCol w:w="211"/>
        <w:gridCol w:w="890"/>
      </w:tblGrid>
      <w:tr>
        <w:trPr/>
        <w:tc>
          <w:tcPr>
            <w:tcW w:w="1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58570" cy="175260"/>
                      <wp:effectExtent l="0" t="0" r="0" b="0"/>
                      <wp:wrapNone/>
                      <wp:docPr id="22" name="Frame21"/>
                      <a:graphic xmlns:a="http://schemas.openxmlformats.org/drawingml/2006/main">
                        <a:graphicData uri="http://schemas.microsoft.com/office/word/2010/wordprocessingShape">
                          <wps:wsp>
                            <wps:cNvSpPr txBox="1"/>
                            <wps:spPr>
                              <a:xfrm>
                                <a:off x="0" y="0"/>
                                <a:ext cx="1258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4"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2710" cy="175260"/>
                      <wp:effectExtent l="0" t="0" r="0" b="0"/>
                      <wp:wrapNone/>
                      <wp:docPr id="25" name="Frame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65735" cy="175260"/>
                      <wp:effectExtent l="0" t="0" r="0" b="0"/>
                      <wp:wrapNone/>
                      <wp:docPr id="26" name="Frame2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3050" cy="175260"/>
                      <wp:effectExtent l="0" t="0" r="0" b="0"/>
                      <wp:wrapNone/>
                      <wp:docPr id="27" name="Frame2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30" name="Frame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36575" cy="175260"/>
                      <wp:effectExtent l="0" t="0" r="0" b="0"/>
                      <wp:wrapNone/>
                      <wp:docPr id="33" name="Frame32"/>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93040" cy="175260"/>
                      <wp:effectExtent l="0" t="0" r="0" b="0"/>
                      <wp:wrapNone/>
                      <wp:docPr id="35" name="Frame3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79120" cy="175260"/>
                      <wp:effectExtent l="0" t="0" r="0" b="0"/>
                      <wp:wrapNone/>
                      <wp:docPr id="36" name="Frame35"/>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5150" cy="175260"/>
                      <wp:effectExtent l="0" t="0" r="0" b="0"/>
                      <wp:wrapNone/>
                      <wp:docPr id="39" name="Frame38"/>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90" w:type="dxa"/>
            <w:tcBorders/>
            <w:vAlign w:val="center"/>
          </w:tcPr>
          <w:p>
            <w:pPr>
              <w:pStyle w:val="TableContents"/>
              <w:bidi w:val="0"/>
              <w:spacing w:before="0" w:after="1"/>
              <w:ind w:left="0" w:right="0" w:hanging="0"/>
              <w:jc w:val="center"/>
              <w:rPr/>
            </w:pPr>
            <w:r>
              <w:rPr/>
              <w:t>​</w:t>
            </w:r>
          </w:p>
        </w:tc>
      </w:tr>
      <w:tr>
        <w:trPr/>
        <w:tc>
          <w:tcPr>
            <w:tcW w:w="19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Additional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1"/>
              <w:ind w:left="0" w:right="0" w:hanging="0"/>
              <w:jc w:val="left"/>
              <w:rPr/>
            </w:pPr>
            <w:r>
              <w:rPr/>
              <w:t>​</w:t>
            </w:r>
          </w:p>
        </w:tc>
        <w:tc>
          <w:tcPr>
            <w:tcW w:w="11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9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  ​ ​ ​</w:t>
            </w:r>
          </w:p>
        </w:tc>
        <w:tc>
          <w:tcPr>
            <w:tcW w:w="10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  ​ ​ ​</w:t>
            </w:r>
          </w:p>
        </w:tc>
        <w:tc>
          <w:tcPr>
            <w:tcW w:w="11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46" w:type="dxa"/>
            <w:tcBorders/>
            <w:vAlign w:val="center"/>
          </w:tcPr>
          <w:p>
            <w:pPr>
              <w:pStyle w:val="TableContents"/>
              <w:bidi w:val="0"/>
              <w:spacing w:before="0" w:after="1"/>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w:t>
            </w:r>
          </w:p>
        </w:tc>
        <w:tc>
          <w:tcPr>
            <w:tcW w:w="1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110,882,735</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879,292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(649,483)</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224,892</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4,458</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 awards including withholding, net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209,537</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from Employee Stock Purchase Plan</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57,801</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at-the-market offerings, net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2,021,169</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8,742</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direct offering, net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12,397,920</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51,059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51,060</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pre-funded warrants</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4,647,534</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19,279</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(22,563)</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(22,563)</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130,221,154</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961,244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(672,046)</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283,987</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public offering, net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64,250,000</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180,763</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pre-funded warrants in public offering, net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gain on investments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4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(22,825)</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(22,825)</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194,474,154</w:t>
            </w:r>
          </w:p>
        </w:tc>
        <w:tc>
          <w:tcPr>
            <w:tcW w:w="146" w:type="dxa"/>
            <w:tcBorders/>
            <w:vAlign w:val="center"/>
          </w:tcPr>
          <w:p>
            <w:pPr>
              <w:pStyle w:val="TableContents"/>
              <w:bidi w:val="0"/>
              <w:spacing w:before="0" w:after="1"/>
              <w:ind w:left="0" w:right="0" w:hanging="0"/>
              <w:jc w:val="left"/>
              <w:rPr/>
            </w:pPr>
            <w:r>
              <w:rPr/>
              <w:t> </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1,175,098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(694,871)</w:t>
            </w:r>
          </w:p>
        </w:tc>
        <w:tc>
          <w:tcPr>
            <w:tcW w:w="346" w:type="dxa"/>
            <w:tcBorders/>
            <w:vAlign w:val="center"/>
          </w:tcPr>
          <w:p>
            <w:pPr>
              <w:pStyle w:val="TableContents"/>
              <w:bidi w:val="0"/>
              <w:spacing w:before="0" w:after="1"/>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474,208</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ALTIMMUNE,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437" w:name="Tc_2BI_d0b3g0-N4CttH2pWxg_20_16"/>
      <w:bookmarkStart w:id="438" w:name="Tc_ujbmVDlrkUKb2XlOdOHXWQ_20_13"/>
      <w:bookmarkStart w:id="439" w:name="Tc_ldKEemeozE2d9WCQjLDHBg_20_10"/>
      <w:bookmarkStart w:id="440" w:name="Tc_CvMbx_BdmEqkaxJQFCgbWQ_20_7"/>
      <w:bookmarkStart w:id="441" w:name="Tc_0R_lCuf6cECSUce6-esPtQ_20_4"/>
      <w:bookmarkStart w:id="442" w:name="Tc_5_khvqoHpkOiDKS9qCSxYA_20_0"/>
      <w:bookmarkStart w:id="443" w:name="Tc_MBglNOpxDEm6rBzjS6yRNw_19_14"/>
      <w:bookmarkStart w:id="444" w:name="Tc__Q10Rl5IyEGpHl9w_lXzcw_19_8"/>
      <w:bookmarkStart w:id="445" w:name="Tc_QXgV9D_HZkiGvd19uxbcSw_19_5"/>
      <w:bookmarkStart w:id="446" w:name="Tc_vezuWyZM1UCNXDMmLzTH9Q_19_2"/>
      <w:bookmarkStart w:id="447" w:name="Tc_b7y7O2HoGk208vjRo3B5sg_19_0"/>
      <w:bookmarkStart w:id="448" w:name="Tc_zI9GDlVSJUOWD526KNWBxA_18_11"/>
      <w:bookmarkStart w:id="449" w:name="Tc_WDU5Ej6nAkOwiYPax2bWyw_18_8"/>
      <w:bookmarkStart w:id="450" w:name="Tc_uMf7feL8f0eKbHSYN1AWow_18_5"/>
      <w:bookmarkStart w:id="451" w:name="Tc_Ob-Wq04WtEOieWvIAhrmuQ_18_2"/>
      <w:bookmarkStart w:id="452" w:name="Tc_2X1i9qZ4xkKjtrlZ_kMP2g_18_0"/>
      <w:bookmarkStart w:id="453" w:name="Tc_vT7vjiB4AkmYGvWMRt-pkQ_17_14"/>
      <w:bookmarkStart w:id="454" w:name="Tc_bbkMujMgrU2n1wBWCFAiWA_17_11"/>
      <w:bookmarkStart w:id="455" w:name="Tc_W7dTqeSbFEG-rGIJ8uOBaA_17_0"/>
      <w:bookmarkStart w:id="456" w:name="Tc_ixhvb02QOESSXcl1hhHMhw_16_14"/>
      <w:bookmarkStart w:id="457" w:name="Tc_1hoSabkjKkiViKRX9KxS0Q_16_11"/>
      <w:bookmarkStart w:id="458" w:name="Tc_nEFgNn5SBEGmzKS2Saenkw_16_5"/>
      <w:bookmarkStart w:id="459" w:name="Tc_ISH0BTnKpkiMZfNeIW7lRw_16_0"/>
      <w:bookmarkStart w:id="460" w:name="Tc_OJ3GkAJCG0ewajqH7iYZmw_15_14"/>
      <w:bookmarkStart w:id="461" w:name="Tc__reFewT8bk6VR0LU-xqGSQ_15_11"/>
      <w:bookmarkStart w:id="462" w:name="Tc_hhuLorPnaE-xgoZIdmFUsw_15_5"/>
      <w:bookmarkStart w:id="463" w:name="Tc_1nW17cpchkKq9PNBO932nQ_15_0"/>
      <w:bookmarkStart w:id="464" w:name="Tc_sBTUNfM98kyO9V4_3dSoNA_14_16"/>
      <w:bookmarkStart w:id="465" w:name="Tc_OzWglQ2azkOzEMG0HGFJAQ_14_14"/>
      <w:bookmarkStart w:id="466" w:name="Tc_Wr3OgqtOoEK5eThmHscFkQ_14_13"/>
      <w:bookmarkStart w:id="467" w:name="Tc_lYvKz7CTTUaz8zeDqq3Dfg_14_11"/>
      <w:bookmarkStart w:id="468" w:name="Tc_l5QXXrVZn06NSM4V1dk5Iw_14_10"/>
      <w:bookmarkStart w:id="469" w:name="Tc_hPlpQXg21k-hQc8se99cnw_14_7"/>
      <w:bookmarkStart w:id="470" w:name="Tc_t-mgvess40KSqR54geLI9g_14_5"/>
      <w:bookmarkStart w:id="471" w:name="Tc_wIRa0felEESWuo-zJIoOFQ_14_4"/>
      <w:bookmarkStart w:id="472" w:name="Tc_5vB7wnEiWk2TJYEKSJc4Gg_14_2"/>
      <w:bookmarkStart w:id="473" w:name="Tc_RNk-7uyZeUa13mYyiAiCew_14_0"/>
      <w:bookmarkStart w:id="474" w:name="Tc_0OAIcD_zwkOmD31uuahbXQ_13_16"/>
      <w:bookmarkStart w:id="475" w:name="Tc_XSzsj4878EaDnAw4F1-4Iw_13_13"/>
      <w:bookmarkStart w:id="476" w:name="Tc_JOWES6sfhkmlKJ2ASfr5GQ_13_10"/>
      <w:bookmarkStart w:id="477" w:name="Tc_U9lhJOZqtkqHWPmkjtZuvQ_13_7"/>
      <w:bookmarkStart w:id="478" w:name="Tc_Uv3mIbOprkCyV0FTIbdnDQ_13_4"/>
      <w:bookmarkStart w:id="479" w:name="Tc_zGq_K4oSl0qwv5SsvY3LYA_13_0"/>
      <w:bookmarkStart w:id="480" w:name="Tc_gONeMy1-n0m_c7y82L4rww_12_14"/>
      <w:bookmarkStart w:id="481" w:name="Tc_GJGmjcjkI02pGV77_wr_mQ_12_8"/>
      <w:bookmarkStart w:id="482" w:name="Tc_DROzUmSP3k6801t0fBj_YQ_12_5"/>
      <w:bookmarkStart w:id="483" w:name="Tc_f8H1J7_wBkOi-LLGLBRI4Q_12_2"/>
      <w:bookmarkStart w:id="484" w:name="Tc_MfpSr8qvn0GqAe0vaFSVwA_12_0"/>
      <w:bookmarkStart w:id="485" w:name="Tc_NowX_WwqAUyFCklLq4Ry9g_11_11"/>
      <w:bookmarkStart w:id="486" w:name="Tc_WvZe2u8oZUOm7UzAIt9Bzw_11_8"/>
      <w:bookmarkStart w:id="487" w:name="Tc_8FAbjR9dbEiRpfka67slaw_11_5"/>
      <w:bookmarkStart w:id="488" w:name="Tc_T1tkldo2Lkq3Qs4DzBCQBQ_11_2"/>
      <w:bookmarkStart w:id="489" w:name="Tc_PBPWxpz-Yk-UJpCokCjQbA_11_0"/>
      <w:bookmarkStart w:id="490" w:name="Tc_JpRNdokh30CH0RdQ2lDfeA_10_14"/>
      <w:bookmarkStart w:id="491" w:name="Tc_Q_u2o-Cat0CuROhTfjgxFQ_10_11"/>
      <w:bookmarkStart w:id="492" w:name="Tc_RtRbKaK76E-V-45Nmz1ztg_10_0"/>
      <w:bookmarkStart w:id="493" w:name="Tc_JKm8dW4E_0eCB_dVOIclCA_9_14"/>
      <w:bookmarkStart w:id="494" w:name="Tc_gnCRjK_LrEGXK_EV1-WTXw_9_11"/>
      <w:bookmarkStart w:id="495" w:name="Tc_v09JSJwoaE6q7zfeiKmonA_9_5"/>
      <w:bookmarkStart w:id="496" w:name="Tc_R6NVTr4Z6kSu8hw_yD6_XQ_9_0"/>
      <w:bookmarkStart w:id="497" w:name="Tc_C0tP61v1A0iWXnk-Iw_1bg_8_14"/>
      <w:bookmarkStart w:id="498" w:name="Tc_KHkSKnC_fECc2pw6CXHuxw_8_11"/>
      <w:bookmarkStart w:id="499" w:name="Tc_jGNNDqei3kG1g5byWNIDHg_8_5"/>
      <w:bookmarkStart w:id="500" w:name="Tc_Q2FwS7BsFk61n7pfqX1i0w_8_0"/>
      <w:bookmarkStart w:id="501" w:name="Tc_cT_29YPpU0OHOboEPrpnWg_7_14"/>
      <w:bookmarkStart w:id="502" w:name="Tc_M0fEd136aEK1k5LKb_O_Lg_7_11"/>
      <w:bookmarkStart w:id="503" w:name="Tc_CGPj5YctiEGBSry2TImWsA_7_5"/>
      <w:bookmarkStart w:id="504" w:name="Tc_4UbwsaZ9N0SS7CC3YfmAsw_7_0"/>
      <w:bookmarkStart w:id="505" w:name="Tc_CaEWxG4e8025BTrOFKu4-w_6_14"/>
      <w:bookmarkStart w:id="506" w:name="Tc_E5CaNVxs00qiNpsBu4UW3Q_6_11"/>
      <w:bookmarkStart w:id="507" w:name="Tc_bGFEgTpk80uGZ5prfIXPQA_6_5"/>
      <w:bookmarkStart w:id="508" w:name="Tc_n59GQTqBSkmw69e8cBPz8w_6_2"/>
      <w:bookmarkStart w:id="509" w:name="Tc_BHuH9m2_j0eQsjOTirLRRQ_6_0"/>
      <w:bookmarkStart w:id="510" w:name="Tc_Qu_VjCvNfkOdhqWemW5GDA_5_16"/>
      <w:bookmarkStart w:id="511" w:name="Tc_rLsRF8xXDUuK_rJs61rMIA_5_13"/>
      <w:bookmarkStart w:id="512" w:name="Tc_Y639ZMHnM0y_tS7dR55AqA_5_10"/>
      <w:bookmarkStart w:id="513" w:name="Tc_zRPTrW2YMk6oQQBxXVeFVw_5_7"/>
      <w:bookmarkStart w:id="514" w:name="Tc_YCIW8U68IEK3oVkjDiesxw_5_4"/>
      <w:bookmarkStart w:id="515" w:name="Tc_DTd6WumuSUKXf7hvl7rklA_5_0"/>
      <w:bookmarkStart w:id="516" w:name="Tc_4wWeVAicEUG9sx3AvsNaZg_4_16"/>
      <w:bookmarkStart w:id="517" w:name="Tc_Hy4rAej0YE6H_Mu3uCFAFQ_4_13"/>
      <w:bookmarkStart w:id="518" w:name="Tc_o5Z4ThHq10GAoaOMYcsulQ_4_10"/>
      <w:bookmarkStart w:id="519" w:name="Tc_yda2CyIMi0WxGOPajIm7OQ_4_7"/>
      <w:bookmarkStart w:id="520" w:name="Tc_AzAnrrG7F0K_e-dn_Qmjdw_4_4"/>
      <w:bookmarkStart w:id="521" w:name="Tc_ujovrcWMNku5_A_EmvOCCw_4_2"/>
      <w:bookmarkStart w:id="522" w:name="Tc_-SmJK7PeY0aY8EBSEtF_fQ_3_16"/>
      <w:bookmarkStart w:id="523" w:name="Tc_lM3SKRdkqkWyxKaeFsXbow_3_13"/>
      <w:bookmarkStart w:id="524" w:name="Tc_X_2823E380q-m92sc7Kftw_3_10"/>
      <w:bookmarkStart w:id="525" w:name="Tc_JFMqZl8tYUuNd4B-EIzeXQ_3_7"/>
      <w:bookmarkStart w:id="526" w:name="Tc_aREGhLS6GUCcCdeu1XcM8w_3_2"/>
      <w:bookmarkStart w:id="527" w:name="Tc_Vnh58cpXVUCkm17gktr6WA_2_16"/>
      <w:bookmarkStart w:id="528" w:name="Tc_F-yPHIngsk2A4RDH4_I6fA_2_13"/>
      <w:bookmarkStart w:id="529" w:name="Tc_i8DRh9Mg-kevZowYeTQoYg_2_7"/>
      <w:bookmarkStart w:id="530" w:name="Tc_fzJ1wdzz9k--dVsviC3puQ_1_13"/>
      <w:bookmarkStart w:id="531" w:name="_c3b32108_dde3_470e_b511_622d09d50804"/>
      <w:bookmarkStart w:id="532" w:name="Tc_2BI_d0b3g0-N4CttH2pWxg_20_16"/>
      <w:bookmarkStart w:id="533" w:name="Tc_ujbmVDlrkUKb2XlOdOHXWQ_20_13"/>
      <w:bookmarkStart w:id="534" w:name="Tc_ldKEemeozE2d9WCQjLDHBg_20_10"/>
      <w:bookmarkStart w:id="535" w:name="Tc_CvMbx_BdmEqkaxJQFCgbWQ_20_7"/>
      <w:bookmarkStart w:id="536" w:name="Tc_0R_lCuf6cECSUce6-esPtQ_20_4"/>
      <w:bookmarkStart w:id="537" w:name="Tc_5_khvqoHpkOiDKS9qCSxYA_20_0"/>
      <w:bookmarkStart w:id="538" w:name="Tc_MBglNOpxDEm6rBzjS6yRNw_19_14"/>
      <w:bookmarkStart w:id="539" w:name="Tc__Q10Rl5IyEGpHl9w_lXzcw_19_8"/>
      <w:bookmarkStart w:id="540" w:name="Tc_QXgV9D_HZkiGvd19uxbcSw_19_5"/>
      <w:bookmarkStart w:id="541" w:name="Tc_vezuWyZM1UCNXDMmLzTH9Q_19_2"/>
      <w:bookmarkStart w:id="542" w:name="Tc_b7y7O2HoGk208vjRo3B5sg_19_0"/>
      <w:bookmarkStart w:id="543" w:name="Tc_zI9GDlVSJUOWD526KNWBxA_18_11"/>
      <w:bookmarkStart w:id="544" w:name="Tc_WDU5Ej6nAkOwiYPax2bWyw_18_8"/>
      <w:bookmarkStart w:id="545" w:name="Tc_uMf7feL8f0eKbHSYN1AWow_18_5"/>
      <w:bookmarkStart w:id="546" w:name="Tc_Ob-Wq04WtEOieWvIAhrmuQ_18_2"/>
      <w:bookmarkStart w:id="547" w:name="Tc_2X1i9qZ4xkKjtrlZ_kMP2g_18_0"/>
      <w:bookmarkStart w:id="548" w:name="Tc_vT7vjiB4AkmYGvWMRt-pkQ_17_14"/>
      <w:bookmarkStart w:id="549" w:name="Tc_bbkMujMgrU2n1wBWCFAiWA_17_11"/>
      <w:bookmarkStart w:id="550" w:name="Tc_W7dTqeSbFEG-rGIJ8uOBaA_17_0"/>
      <w:bookmarkStart w:id="551" w:name="Tc_ixhvb02QOESSXcl1hhHMhw_16_14"/>
      <w:bookmarkStart w:id="552" w:name="Tc_1hoSabkjKkiViKRX9KxS0Q_16_11"/>
      <w:bookmarkStart w:id="553" w:name="Tc_nEFgNn5SBEGmzKS2Saenkw_16_5"/>
      <w:bookmarkStart w:id="554" w:name="Tc_ISH0BTnKpkiMZfNeIW7lRw_16_0"/>
      <w:bookmarkStart w:id="555" w:name="Tc_OJ3GkAJCG0ewajqH7iYZmw_15_14"/>
      <w:bookmarkStart w:id="556" w:name="Tc__reFewT8bk6VR0LU-xqGSQ_15_11"/>
      <w:bookmarkStart w:id="557" w:name="Tc_hhuLorPnaE-xgoZIdmFUsw_15_5"/>
      <w:bookmarkStart w:id="558" w:name="Tc_1nW17cpchkKq9PNBO932nQ_15_0"/>
      <w:bookmarkStart w:id="559" w:name="Tc_sBTUNfM98kyO9V4_3dSoNA_14_16"/>
      <w:bookmarkStart w:id="560" w:name="Tc_OzWglQ2azkOzEMG0HGFJAQ_14_14"/>
      <w:bookmarkStart w:id="561" w:name="Tc_Wr3OgqtOoEK5eThmHscFkQ_14_13"/>
      <w:bookmarkStart w:id="562" w:name="Tc_lYvKz7CTTUaz8zeDqq3Dfg_14_11"/>
      <w:bookmarkStart w:id="563" w:name="Tc_l5QXXrVZn06NSM4V1dk5Iw_14_10"/>
      <w:bookmarkStart w:id="564" w:name="Tc_hPlpQXg21k-hQc8se99cnw_14_7"/>
      <w:bookmarkStart w:id="565" w:name="Tc_t-mgvess40KSqR54geLI9g_14_5"/>
      <w:bookmarkStart w:id="566" w:name="Tc_wIRa0felEESWuo-zJIoOFQ_14_4"/>
      <w:bookmarkStart w:id="567" w:name="Tc_5vB7wnEiWk2TJYEKSJc4Gg_14_2"/>
      <w:bookmarkStart w:id="568" w:name="Tc_RNk-7uyZeUa13mYyiAiCew_14_0"/>
      <w:bookmarkStart w:id="569" w:name="Tc_0OAIcD_zwkOmD31uuahbXQ_13_16"/>
      <w:bookmarkStart w:id="570" w:name="Tc_XSzsj4878EaDnAw4F1-4Iw_13_13"/>
      <w:bookmarkStart w:id="571" w:name="Tc_JOWES6sfhkmlKJ2ASfr5GQ_13_10"/>
      <w:bookmarkStart w:id="572" w:name="Tc_U9lhJOZqtkqHWPmkjtZuvQ_13_7"/>
      <w:bookmarkStart w:id="573" w:name="Tc_Uv3mIbOprkCyV0FTIbdnDQ_13_4"/>
      <w:bookmarkStart w:id="574" w:name="Tc_zGq_K4oSl0qwv5SsvY3LYA_13_0"/>
      <w:bookmarkStart w:id="575" w:name="Tc_gONeMy1-n0m_c7y82L4rww_12_14"/>
      <w:bookmarkStart w:id="576" w:name="Tc_GJGmjcjkI02pGV77_wr_mQ_12_8"/>
      <w:bookmarkStart w:id="577" w:name="Tc_DROzUmSP3k6801t0fBj_YQ_12_5"/>
      <w:bookmarkStart w:id="578" w:name="Tc_f8H1J7_wBkOi-LLGLBRI4Q_12_2"/>
      <w:bookmarkStart w:id="579" w:name="Tc_MfpSr8qvn0GqAe0vaFSVwA_12_0"/>
      <w:bookmarkStart w:id="580" w:name="Tc_NowX_WwqAUyFCklLq4Ry9g_11_11"/>
      <w:bookmarkStart w:id="581" w:name="Tc_WvZe2u8oZUOm7UzAIt9Bzw_11_8"/>
      <w:bookmarkStart w:id="582" w:name="Tc_8FAbjR9dbEiRpfka67slaw_11_5"/>
      <w:bookmarkStart w:id="583" w:name="Tc_T1tkldo2Lkq3Qs4DzBCQBQ_11_2"/>
      <w:bookmarkStart w:id="584" w:name="Tc_PBPWxpz-Yk-UJpCokCjQbA_11_0"/>
      <w:bookmarkStart w:id="585" w:name="Tc_JpRNdokh30CH0RdQ2lDfeA_10_14"/>
      <w:bookmarkStart w:id="586" w:name="Tc_Q_u2o-Cat0CuROhTfjgxFQ_10_11"/>
      <w:bookmarkStart w:id="587" w:name="Tc_RtRbKaK76E-V-45Nmz1ztg_10_0"/>
      <w:bookmarkStart w:id="588" w:name="Tc_JKm8dW4E_0eCB_dVOIclCA_9_14"/>
      <w:bookmarkStart w:id="589" w:name="Tc_gnCRjK_LrEGXK_EV1-WTXw_9_11"/>
      <w:bookmarkStart w:id="590" w:name="Tc_v09JSJwoaE6q7zfeiKmonA_9_5"/>
      <w:bookmarkStart w:id="591" w:name="Tc_R6NVTr4Z6kSu8hw_yD6_XQ_9_0"/>
      <w:bookmarkStart w:id="592" w:name="Tc_C0tP61v1A0iWXnk-Iw_1bg_8_14"/>
      <w:bookmarkStart w:id="593" w:name="Tc_KHkSKnC_fECc2pw6CXHuxw_8_11"/>
      <w:bookmarkStart w:id="594" w:name="Tc_jGNNDqei3kG1g5byWNIDHg_8_5"/>
      <w:bookmarkStart w:id="595" w:name="Tc_Q2FwS7BsFk61n7pfqX1i0w_8_0"/>
      <w:bookmarkStart w:id="596" w:name="Tc_cT_29YPpU0OHOboEPrpnWg_7_14"/>
      <w:bookmarkStart w:id="597" w:name="Tc_M0fEd136aEK1k5LKb_O_Lg_7_11"/>
      <w:bookmarkStart w:id="598" w:name="Tc_CGPj5YctiEGBSry2TImWsA_7_5"/>
      <w:bookmarkStart w:id="599" w:name="Tc_4UbwsaZ9N0SS7CC3YfmAsw_7_0"/>
      <w:bookmarkStart w:id="600" w:name="Tc_CaEWxG4e8025BTrOFKu4-w_6_14"/>
      <w:bookmarkStart w:id="601" w:name="Tc_E5CaNVxs00qiNpsBu4UW3Q_6_11"/>
      <w:bookmarkStart w:id="602" w:name="Tc_bGFEgTpk80uGZ5prfIXPQA_6_5"/>
      <w:bookmarkStart w:id="603" w:name="Tc_n59GQTqBSkmw69e8cBPz8w_6_2"/>
      <w:bookmarkStart w:id="604" w:name="Tc_BHuH9m2_j0eQsjOTirLRRQ_6_0"/>
      <w:bookmarkStart w:id="605" w:name="Tc_Qu_VjCvNfkOdhqWemW5GDA_5_16"/>
      <w:bookmarkStart w:id="606" w:name="Tc_rLsRF8xXDUuK_rJs61rMIA_5_13"/>
      <w:bookmarkStart w:id="607" w:name="Tc_Y639ZMHnM0y_tS7dR55AqA_5_10"/>
      <w:bookmarkStart w:id="608" w:name="Tc_zRPTrW2YMk6oQQBxXVeFVw_5_7"/>
      <w:bookmarkStart w:id="609" w:name="Tc_YCIW8U68IEK3oVkjDiesxw_5_4"/>
      <w:bookmarkStart w:id="610" w:name="Tc_DTd6WumuSUKXf7hvl7rklA_5_0"/>
      <w:bookmarkStart w:id="611" w:name="Tc_4wWeVAicEUG9sx3AvsNaZg_4_16"/>
      <w:bookmarkStart w:id="612" w:name="Tc_Hy4rAej0YE6H_Mu3uCFAFQ_4_13"/>
      <w:bookmarkStart w:id="613" w:name="Tc_o5Z4ThHq10GAoaOMYcsulQ_4_10"/>
      <w:bookmarkStart w:id="614" w:name="Tc_yda2CyIMi0WxGOPajIm7OQ_4_7"/>
      <w:bookmarkStart w:id="615" w:name="Tc_AzAnrrG7F0K_e-dn_Qmjdw_4_4"/>
      <w:bookmarkStart w:id="616" w:name="Tc_ujovrcWMNku5_A_EmvOCCw_4_2"/>
      <w:bookmarkStart w:id="617" w:name="Tc_-SmJK7PeY0aY8EBSEtF_fQ_3_16"/>
      <w:bookmarkStart w:id="618" w:name="Tc_lM3SKRdkqkWyxKaeFsXbow_3_13"/>
      <w:bookmarkStart w:id="619" w:name="Tc_X_2823E380q-m92sc7Kftw_3_10"/>
      <w:bookmarkStart w:id="620" w:name="Tc_JFMqZl8tYUuNd4B-EIzeXQ_3_7"/>
      <w:bookmarkStart w:id="621" w:name="Tc_aREGhLS6GUCcCdeu1XcM8w_3_2"/>
      <w:bookmarkStart w:id="622" w:name="Tc_Vnh58cpXVUCkm17gktr6WA_2_16"/>
      <w:bookmarkStart w:id="623" w:name="Tc_F-yPHIngsk2A4RDH4_I6fA_2_13"/>
      <w:bookmarkStart w:id="624" w:name="Tc_i8DRh9Mg-kevZowYeTQoYg_2_7"/>
      <w:bookmarkStart w:id="625" w:name="Tc_fzJ1wdzz9k--dVsviC3puQ_1_13"/>
      <w:bookmarkStart w:id="626" w:name="_c3b32108_dde3_470e_b511_622d09d50804"/>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tbl>
      <w:tblPr>
        <w:tblW w:w="10205" w:type="dxa"/>
        <w:jc w:val="left"/>
        <w:tblInd w:w="0" w:type="dxa"/>
        <w:tblLayout w:type="fixed"/>
        <w:tblCellMar>
          <w:top w:w="0" w:type="dxa"/>
          <w:left w:w="0" w:type="dxa"/>
          <w:bottom w:w="0" w:type="dxa"/>
          <w:right w:w="0" w:type="dxa"/>
        </w:tblCellMar>
      </w:tblPr>
      <w:tblGrid>
        <w:gridCol w:w="2230"/>
        <w:gridCol w:w="346"/>
        <w:gridCol w:w="1036"/>
        <w:gridCol w:w="146"/>
        <w:gridCol w:w="261"/>
        <w:gridCol w:w="430"/>
        <w:gridCol w:w="346"/>
        <w:gridCol w:w="211"/>
        <w:gridCol w:w="781"/>
        <w:gridCol w:w="346"/>
        <w:gridCol w:w="211"/>
        <w:gridCol w:w="849"/>
        <w:gridCol w:w="346"/>
        <w:gridCol w:w="304"/>
        <w:gridCol w:w="912"/>
        <w:gridCol w:w="346"/>
        <w:gridCol w:w="212"/>
        <w:gridCol w:w="892"/>
      </w:tblGrid>
      <w:tr>
        <w:trPr/>
        <w:tc>
          <w:tcPr>
            <w:tcW w:w="2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16050" cy="175260"/>
                      <wp:effectExtent l="0" t="0" r="0" b="0"/>
                      <wp:wrapNone/>
                      <wp:docPr id="40" name="Frame39"/>
                      <a:graphic xmlns:a="http://schemas.openxmlformats.org/drawingml/2006/main">
                        <a:graphicData uri="http://schemas.microsoft.com/office/word/2010/wordprocessingShape">
                          <wps:wsp>
                            <wps:cNvSpPr txBox="1"/>
                            <wps:spPr>
                              <a:xfrm>
                                <a:off x="0" y="0"/>
                                <a:ext cx="141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57860" cy="175260"/>
                      <wp:effectExtent l="0" t="0" r="0" b="0"/>
                      <wp:wrapNone/>
                      <wp:docPr id="42" name="Frame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2710" cy="175260"/>
                      <wp:effectExtent l="0" t="0" r="0" b="0"/>
                      <wp:wrapNone/>
                      <wp:docPr id="43" name="Frame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65735" cy="175260"/>
                      <wp:effectExtent l="0" t="0" r="0" b="0"/>
                      <wp:wrapNone/>
                      <wp:docPr id="44" name="Frame4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73050" cy="175260"/>
                      <wp:effectExtent l="0" t="0" r="0" b="0"/>
                      <wp:wrapNone/>
                      <wp:docPr id="45" name="Frame44"/>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39115" cy="175260"/>
                      <wp:effectExtent l="0" t="0" r="0" b="0"/>
                      <wp:wrapNone/>
                      <wp:docPr id="51" name="Frame50"/>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93040" cy="175260"/>
                      <wp:effectExtent l="0" t="0" r="0" b="0"/>
                      <wp:wrapNone/>
                      <wp:docPr id="53" name="Frame5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79120" cy="175260"/>
                      <wp:effectExtent l="0" t="0" r="0" b="0"/>
                      <wp:wrapNone/>
                      <wp:docPr id="54" name="Frame5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4620" cy="175260"/>
                      <wp:effectExtent l="0" t="0" r="0" b="0"/>
                      <wp:wrapNone/>
                      <wp:docPr id="56" name="Frame5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6420" cy="175260"/>
                      <wp:effectExtent l="0" t="0" r="0" b="0"/>
                      <wp:wrapNone/>
                      <wp:docPr id="57" name="Frame56"/>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center"/>
              <w:rPr/>
            </w:pPr>
            <w:r>
              <w:rPr/>
              <w:t>​</w:t>
            </w:r>
          </w:p>
        </w:tc>
        <w:tc>
          <w:tcPr>
            <w:tcW w:w="892" w:type="dxa"/>
            <w:tcBorders/>
            <w:vAlign w:val="center"/>
          </w:tcPr>
          <w:p>
            <w:pPr>
              <w:pStyle w:val="TableContents"/>
              <w:bidi w:val="0"/>
              <w:spacing w:before="0" w:after="1"/>
              <w:ind w:left="0" w:right="0" w:hanging="0"/>
              <w:jc w:val="center"/>
              <w:rPr/>
            </w:pPr>
            <w:r>
              <w:rPr/>
              <w:t>​</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Additional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  ​ ​ ​</w:t>
            </w:r>
          </w:p>
        </w:tc>
        <w:tc>
          <w:tcPr>
            <w:tcW w:w="10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  ​ ​ ​</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46" w:type="dxa"/>
            <w:tcBorders/>
            <w:vAlign w:val="center"/>
          </w:tcPr>
          <w:p>
            <w:pPr>
              <w:pStyle w:val="TableContents"/>
              <w:bidi w:val="0"/>
              <w:spacing w:before="0" w:after="1"/>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72,352,701</w:t>
            </w:r>
          </w:p>
        </w:tc>
        <w:tc>
          <w:tcPr>
            <w:tcW w:w="1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689,864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(561,390)</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(4,973)</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123,508</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4,015</w:t>
            </w:r>
          </w:p>
        </w:tc>
        <w:tc>
          <w:tcPr>
            <w:tcW w:w="346" w:type="dxa"/>
            <w:tcBorders/>
            <w:vAlign w:val="center"/>
          </w:tcPr>
          <w:p>
            <w:pPr>
              <w:pStyle w:val="TableContents"/>
              <w:bidi w:val="0"/>
              <w:spacing w:before="0" w:after="1"/>
              <w:ind w:left="0" w:right="0" w:hanging="0"/>
              <w:jc w:val="right"/>
              <w:rPr/>
            </w:pPr>
            <w:r>
              <w:rPr/>
              <w:t> </w:t>
            </w:r>
          </w:p>
        </w:tc>
        <w:tc>
          <w:tcPr>
            <w:tcW w:w="211" w:type="dxa"/>
            <w:tcBorders/>
            <w:vAlign w:val="center"/>
          </w:tcPr>
          <w:p>
            <w:pPr>
              <w:pStyle w:val="TableContents"/>
              <w:bidi w:val="0"/>
              <w:spacing w:before="0" w:after="1"/>
              <w:ind w:left="0" w:right="0" w:hanging="0"/>
              <w:jc w:val="right"/>
              <w:rPr/>
            </w:pPr>
            <w:r>
              <w:rPr/>
              <w:t>​</w:t>
            </w:r>
          </w:p>
        </w:tc>
        <w:tc>
          <w:tcPr>
            <w:tcW w:w="8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righ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4,015</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righ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 awards including withholding, net</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165,259</w:t>
            </w:r>
          </w:p>
        </w:tc>
        <w:tc>
          <w:tcPr>
            <w:tcW w:w="1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righ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from Employee Stock Purchase Plan</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32,872</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righ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at-the-market offerings, net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5,273,368</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righ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34,748</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righ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(19,575)</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(19,575)</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77,825,450</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728,122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(580,965)</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(5,003)</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142,162</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righ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 awards including withholding, net</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2,621</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righ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at-the-market offerings, net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7,246,562</w:t>
            </w:r>
          </w:p>
        </w:tc>
        <w:tc>
          <w:tcPr>
            <w:tcW w:w="1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righ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righ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righ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37,823</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gain on investments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righ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righ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righ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(22,146)</w:t>
            </w:r>
          </w:p>
        </w:tc>
        <w:tc>
          <w:tcPr>
            <w:tcW w:w="346" w:type="dxa"/>
            <w:tcBorders/>
            <w:shd w:fill="CCEEFF" w:val="clear"/>
            <w:vAlign w:val="center"/>
          </w:tcPr>
          <w:p>
            <w:pPr>
              <w:pStyle w:val="TableContents"/>
              <w:bidi w:val="0"/>
              <w:spacing w:before="0" w:after="1"/>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(22,146)</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2025</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85,076,300</w:t>
            </w:r>
          </w:p>
        </w:tc>
        <w:tc>
          <w:tcPr>
            <w:tcW w:w="146" w:type="dxa"/>
            <w:tcBorders/>
            <w:vAlign w:val="center"/>
          </w:tcPr>
          <w:p>
            <w:pPr>
              <w:pStyle w:val="TableContents"/>
              <w:bidi w:val="0"/>
              <w:spacing w:before="0" w:after="1"/>
              <w:ind w:left="0" w:right="0" w:hanging="0"/>
              <w:jc w:val="left"/>
              <w:rPr/>
            </w:pPr>
            <w:r>
              <w:rPr/>
              <w:t> </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769,508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(603,111)</w:t>
            </w:r>
          </w:p>
        </w:tc>
        <w:tc>
          <w:tcPr>
            <w:tcW w:w="346" w:type="dxa"/>
            <w:tcBorders/>
            <w:vAlign w:val="center"/>
          </w:tcPr>
          <w:p>
            <w:pPr>
              <w:pStyle w:val="TableContents"/>
              <w:bidi w:val="0"/>
              <w:spacing w:before="0" w:after="1"/>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(5,039)</w:t>
            </w:r>
          </w:p>
        </w:tc>
        <w:tc>
          <w:tcPr>
            <w:tcW w:w="346" w:type="dxa"/>
            <w:tcBorders/>
            <w:vAlign w:val="center"/>
          </w:tcPr>
          <w:p>
            <w:pPr>
              <w:pStyle w:val="TableContents"/>
              <w:bidi w:val="0"/>
              <w:spacing w:before="0" w:after="1"/>
              <w:ind w:left="0" w:right="0" w:hanging="0"/>
              <w:jc w:val="left"/>
              <w:rPr/>
            </w:pPr>
            <w:r>
              <w:rPr/>
              <w:t> </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161,367</w:t>
            </w:r>
          </w:p>
        </w:tc>
      </w:tr>
    </w:tbl>
    <w:p>
      <w:pPr>
        <w:pStyle w:val="TextBody"/>
        <w:bidi w:val="0"/>
        <w:spacing w:before="0" w:after="240"/>
        <w:ind w:left="0" w:right="0" w:hanging="0"/>
        <w:jc w:val="both"/>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 unaudited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627" w:name="_11fa52ed_5962_4892_af25_e88d2b13b91a"/>
      <w:bookmarkEnd w:id="627"/>
      <w:r>
        <w:rPr>
          <w:rFonts w:ascii="Times New Roman;Times;serif" w:hAnsi="Times New Roman;Times;serif"/>
          <w:b/>
          <w:sz w:val="20"/>
        </w:rPr>
        <w:t>ALTIMMUNE, INC.</w:t>
      </w:r>
    </w:p>
    <w:p>
      <w:pPr>
        <w:pStyle w:val="TextBody"/>
        <w:bidi w:val="0"/>
        <w:spacing w:before="0" w:after="0"/>
        <w:ind w:left="0" w:right="0" w:hanging="0"/>
        <w:jc w:val="center"/>
        <w:rPr>
          <w:rFonts w:ascii="Times New Roman;Times;serif" w:hAnsi="Times New Roman;Times;serif"/>
          <w:b/>
          <w:sz w:val="20"/>
        </w:rPr>
      </w:pPr>
      <w:bookmarkStart w:id="628" w:name="CONSOLIDATEDSTATEMENTSOFCASHFLOWS_490285"/>
      <w:bookmarkEnd w:id="628"/>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629" w:name="Tc_WLrxp5xBfEuMVZIhPdU97g_39_5"/>
      <w:bookmarkStart w:id="630" w:name="Tc_fLVTCQWGhUCnHd43-ganGg_39_3"/>
      <w:bookmarkStart w:id="631" w:name="Tc_toQLhcyEnU-pzG6snZf2tg_39_2"/>
      <w:bookmarkStart w:id="632" w:name="Tc_cdnKs2unUEmqs0G1m9bp9w_39_0"/>
      <w:bookmarkStart w:id="633" w:name="Tc_qRgaNyKxMUyikbUNtK5S8A_38_0"/>
      <w:bookmarkStart w:id="634" w:name="Tc_LV9_N1aDlUK0ZviHqNxZ8w_37_5"/>
      <w:bookmarkStart w:id="635" w:name="Tc_bjRLWb62-0G9HQtnveGRpg_37_3"/>
      <w:bookmarkStart w:id="636" w:name="Tc_qDoKAazwy06RSGZlMjGH9Q_37_2"/>
      <w:bookmarkStart w:id="637" w:name="Tc_-RqYmdHoikOc2PuO49n2pg_37_0"/>
      <w:bookmarkStart w:id="638" w:name="Tc_vGQs0vYZO0Kqe12fq9daPg_36_5"/>
      <w:bookmarkStart w:id="639" w:name="Tc_Jn6QlQtjRkGncwr4SPIs5A_36_2"/>
      <w:bookmarkStart w:id="640" w:name="Tc_GDYPUlEnK0ygSyab9I-gxQ_36_0"/>
      <w:bookmarkStart w:id="641" w:name="Tc_WC5RGKly5UyIi2fSrbjdnA_35_0"/>
      <w:bookmarkStart w:id="642" w:name="Tc_FGb2iAdSvkW_KvSP3KVCYA_34_5"/>
      <w:bookmarkStart w:id="643" w:name="Tc_S4lI4XSVSEK7YtMyxI_W_w_34_2"/>
      <w:bookmarkStart w:id="644" w:name="Tc_NIQd6wZC0UmjYBlUIoeZNQ_34_0"/>
      <w:bookmarkStart w:id="645" w:name="Tc_b7w-_MgNk0WsdnsOdZNtzQ_33_0"/>
      <w:bookmarkStart w:id="646" w:name="Tc_7B9SBPLz80GzBTczIn59UA_32_0"/>
      <w:bookmarkStart w:id="647" w:name="Tc_dCbv3BEVqEyZyGNpaD5VrA_31_0"/>
      <w:bookmarkStart w:id="648" w:name="Tc_eOhu09tS5UGqT290eJ29Ww_30_0"/>
      <w:bookmarkStart w:id="649" w:name="Tc_ZS221JNMLEqPUSnxjU88eA_29_6"/>
      <w:bookmarkStart w:id="650" w:name="Tc_eNGG8gKBoE2X_5ODVyNAMA_29_0"/>
      <w:bookmarkStart w:id="651" w:name="Tc_FANKGvHH7E2uvEEtRRCFrQ_28_0"/>
      <w:bookmarkStart w:id="652" w:name="Tc_YYyPT3E4QEWd-RuZlGftgg_27_3"/>
      <w:bookmarkStart w:id="653" w:name="Tc_bI12_BLsTEiKnTFtYRctcg_27_0"/>
      <w:bookmarkStart w:id="654" w:name="Tc_9Mr6aBNWE0-nieG5WaIwRg_26_0"/>
      <w:bookmarkStart w:id="655" w:name="Tc_r0C1nJYIekK8-YecbSOClA_25_0"/>
      <w:bookmarkStart w:id="656" w:name="Tc_XRGzHhkk0ki1OrE2NQVAfw_24_0"/>
      <w:bookmarkStart w:id="657" w:name="Tc_mJxJvVNzKESTQ-mwStlTZw_23_0"/>
      <w:bookmarkStart w:id="658" w:name="Tc_H6b14l_l3EuiuXxykbQDyw_22_0"/>
      <w:bookmarkStart w:id="659" w:name="Tc_ppVNN0I9t0miS25gAQh7jA_21_0"/>
      <w:bookmarkStart w:id="660" w:name="Tc_ndiOmYdPvE-IQKMJW6rfRQ_20_0"/>
      <w:bookmarkStart w:id="661" w:name="Tc_7XrVyI8vmUOPhOOrpsYYhQ_19_0"/>
      <w:bookmarkStart w:id="662" w:name="Tc_sCiWpISts0-TzEc1NBz5RQ_18_0"/>
      <w:bookmarkStart w:id="663" w:name="Tc_dlYrwS8BqEKsYHGVG1dzeA_17_0"/>
      <w:bookmarkStart w:id="664" w:name="Tc_3hzQoV_5SUCY-lgPVB19pg_16_0"/>
      <w:bookmarkStart w:id="665" w:name="Tc_30MFod_v0UmoKirTL7YnVQ_15_0"/>
      <w:bookmarkStart w:id="666" w:name="Tc_XWuZEbUm3U-8guNUUmxIwQ_14_0"/>
      <w:bookmarkStart w:id="667" w:name="Tc_VzG0UGydE0qwUa_A9rSEVg_13_3"/>
      <w:bookmarkStart w:id="668" w:name="Tc_IIYGTv_7cEm5XzgiyYF2gw_13_0"/>
      <w:bookmarkStart w:id="669" w:name="Tc_SO-iNgiP7E6ifo5zOhXmLw_12_6"/>
      <w:bookmarkStart w:id="670" w:name="Tc_hlZq_qGmI0OWZZ4c8TC07w_12_0"/>
      <w:bookmarkStart w:id="671" w:name="Tc_yCVLyaq_sEuh6kLypLtZFg_11_0"/>
      <w:bookmarkStart w:id="672" w:name="Tc_kmzMsu-k40GMSX3Y4603Tg_10_0"/>
      <w:bookmarkStart w:id="673" w:name="Tc_9jvBvPjs0UaOqFsX2WgNQA_9_0"/>
      <w:bookmarkStart w:id="674" w:name="Tc_LpzR35ToWEaeUUViaO6mcw_8_0"/>
      <w:bookmarkStart w:id="675" w:name="Tc_YOhmlyqj6keRxDwiqQRXHA_7_0"/>
      <w:bookmarkStart w:id="676" w:name="Tc_ixLVuMjfKkeWJBrmfDSonQ_6_0"/>
      <w:bookmarkStart w:id="677" w:name="Tc_nBmAECKweEuwdrWqSSFNtA_5_5"/>
      <w:bookmarkStart w:id="678" w:name="Tc_075l31mNIEGNWdT94fdy6w_5_2"/>
      <w:bookmarkStart w:id="679" w:name="Tc_raiJdd1aWEy310SlludoUw_5_0"/>
      <w:bookmarkStart w:id="680" w:name="Tc_lDMgnfImsUm5vCGIDaS8ww_4_0"/>
      <w:bookmarkStart w:id="681" w:name="Tc_0dmCrjRrKkChi0ADv5XBUA_3_5"/>
      <w:bookmarkStart w:id="682" w:name="Tc_o-pMegswpESmWEY6OoYysg_3_2"/>
      <w:bookmarkStart w:id="683" w:name="Tc_LxnmVD4EQU-sL3H6FGDJvA_2_2"/>
      <w:bookmarkStart w:id="684" w:name="Tc_vGz98qKABEm-Iij7-uGF-Q_1_2"/>
      <w:bookmarkStart w:id="685" w:name="_f55d9164_ad3b_436d_a0d7_6fd46a28951e"/>
      <w:bookmarkStart w:id="686" w:name="Tc_WLrxp5xBfEuMVZIhPdU97g_39_5"/>
      <w:bookmarkStart w:id="687" w:name="Tc_fLVTCQWGhUCnHd43-ganGg_39_3"/>
      <w:bookmarkStart w:id="688" w:name="Tc_toQLhcyEnU-pzG6snZf2tg_39_2"/>
      <w:bookmarkStart w:id="689" w:name="Tc_cdnKs2unUEmqs0G1m9bp9w_39_0"/>
      <w:bookmarkStart w:id="690" w:name="Tc_qRgaNyKxMUyikbUNtK5S8A_38_0"/>
      <w:bookmarkStart w:id="691" w:name="Tc_LV9_N1aDlUK0ZviHqNxZ8w_37_5"/>
      <w:bookmarkStart w:id="692" w:name="Tc_bjRLWb62-0G9HQtnveGRpg_37_3"/>
      <w:bookmarkStart w:id="693" w:name="Tc_qDoKAazwy06RSGZlMjGH9Q_37_2"/>
      <w:bookmarkStart w:id="694" w:name="Tc_-RqYmdHoikOc2PuO49n2pg_37_0"/>
      <w:bookmarkStart w:id="695" w:name="Tc_vGQs0vYZO0Kqe12fq9daPg_36_5"/>
      <w:bookmarkStart w:id="696" w:name="Tc_Jn6QlQtjRkGncwr4SPIs5A_36_2"/>
      <w:bookmarkStart w:id="697" w:name="Tc_GDYPUlEnK0ygSyab9I-gxQ_36_0"/>
      <w:bookmarkStart w:id="698" w:name="Tc_WC5RGKly5UyIi2fSrbjdnA_35_0"/>
      <w:bookmarkStart w:id="699" w:name="Tc_FGb2iAdSvkW_KvSP3KVCYA_34_5"/>
      <w:bookmarkStart w:id="700" w:name="Tc_S4lI4XSVSEK7YtMyxI_W_w_34_2"/>
      <w:bookmarkStart w:id="701" w:name="Tc_NIQd6wZC0UmjYBlUIoeZNQ_34_0"/>
      <w:bookmarkStart w:id="702" w:name="Tc_b7w-_MgNk0WsdnsOdZNtzQ_33_0"/>
      <w:bookmarkStart w:id="703" w:name="Tc_7B9SBPLz80GzBTczIn59UA_32_0"/>
      <w:bookmarkStart w:id="704" w:name="Tc_dCbv3BEVqEyZyGNpaD5VrA_31_0"/>
      <w:bookmarkStart w:id="705" w:name="Tc_eOhu09tS5UGqT290eJ29Ww_30_0"/>
      <w:bookmarkStart w:id="706" w:name="Tc_ZS221JNMLEqPUSnxjU88eA_29_6"/>
      <w:bookmarkStart w:id="707" w:name="Tc_eNGG8gKBoE2X_5ODVyNAMA_29_0"/>
      <w:bookmarkStart w:id="708" w:name="Tc_FANKGvHH7E2uvEEtRRCFrQ_28_0"/>
      <w:bookmarkStart w:id="709" w:name="Tc_YYyPT3E4QEWd-RuZlGftgg_27_3"/>
      <w:bookmarkStart w:id="710" w:name="Tc_bI12_BLsTEiKnTFtYRctcg_27_0"/>
      <w:bookmarkStart w:id="711" w:name="Tc_9Mr6aBNWE0-nieG5WaIwRg_26_0"/>
      <w:bookmarkStart w:id="712" w:name="Tc_r0C1nJYIekK8-YecbSOClA_25_0"/>
      <w:bookmarkStart w:id="713" w:name="Tc_XRGzHhkk0ki1OrE2NQVAfw_24_0"/>
      <w:bookmarkStart w:id="714" w:name="Tc_mJxJvVNzKESTQ-mwStlTZw_23_0"/>
      <w:bookmarkStart w:id="715" w:name="Tc_H6b14l_l3EuiuXxykbQDyw_22_0"/>
      <w:bookmarkStart w:id="716" w:name="Tc_ppVNN0I9t0miS25gAQh7jA_21_0"/>
      <w:bookmarkStart w:id="717" w:name="Tc_ndiOmYdPvE-IQKMJW6rfRQ_20_0"/>
      <w:bookmarkStart w:id="718" w:name="Tc_7XrVyI8vmUOPhOOrpsYYhQ_19_0"/>
      <w:bookmarkStart w:id="719" w:name="Tc_sCiWpISts0-TzEc1NBz5RQ_18_0"/>
      <w:bookmarkStart w:id="720" w:name="Tc_dlYrwS8BqEKsYHGVG1dzeA_17_0"/>
      <w:bookmarkStart w:id="721" w:name="Tc_3hzQoV_5SUCY-lgPVB19pg_16_0"/>
      <w:bookmarkStart w:id="722" w:name="Tc_30MFod_v0UmoKirTL7YnVQ_15_0"/>
      <w:bookmarkStart w:id="723" w:name="Tc_XWuZEbUm3U-8guNUUmxIwQ_14_0"/>
      <w:bookmarkStart w:id="724" w:name="Tc_VzG0UGydE0qwUa_A9rSEVg_13_3"/>
      <w:bookmarkStart w:id="725" w:name="Tc_IIYGTv_7cEm5XzgiyYF2gw_13_0"/>
      <w:bookmarkStart w:id="726" w:name="Tc_SO-iNgiP7E6ifo5zOhXmLw_12_6"/>
      <w:bookmarkStart w:id="727" w:name="Tc_hlZq_qGmI0OWZZ4c8TC07w_12_0"/>
      <w:bookmarkStart w:id="728" w:name="Tc_yCVLyaq_sEuh6kLypLtZFg_11_0"/>
      <w:bookmarkStart w:id="729" w:name="Tc_kmzMsu-k40GMSX3Y4603Tg_10_0"/>
      <w:bookmarkStart w:id="730" w:name="Tc_9jvBvPjs0UaOqFsX2WgNQA_9_0"/>
      <w:bookmarkStart w:id="731" w:name="Tc_LpzR35ToWEaeUUViaO6mcw_8_0"/>
      <w:bookmarkStart w:id="732" w:name="Tc_YOhmlyqj6keRxDwiqQRXHA_7_0"/>
      <w:bookmarkStart w:id="733" w:name="Tc_ixLVuMjfKkeWJBrmfDSonQ_6_0"/>
      <w:bookmarkStart w:id="734" w:name="Tc_nBmAECKweEuwdrWqSSFNtA_5_5"/>
      <w:bookmarkStart w:id="735" w:name="Tc_075l31mNIEGNWdT94fdy6w_5_2"/>
      <w:bookmarkStart w:id="736" w:name="Tc_raiJdd1aWEy310SlludoUw_5_0"/>
      <w:bookmarkStart w:id="737" w:name="Tc_lDMgnfImsUm5vCGIDaS8ww_4_0"/>
      <w:bookmarkStart w:id="738" w:name="Tc_0dmCrjRrKkChi0ADv5XBUA_3_5"/>
      <w:bookmarkStart w:id="739" w:name="Tc_o-pMegswpESmWEY6OoYysg_3_2"/>
      <w:bookmarkStart w:id="740" w:name="Tc_LxnmVD4EQU-sL3H6FGDJvA_2_2"/>
      <w:bookmarkStart w:id="741" w:name="Tc_vGz98qKABEm-Iij7-uGF-Q_1_2"/>
      <w:bookmarkStart w:id="742" w:name="_f55d9164_ad3b_436d_a0d7_6fd46a28951e"/>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tbl>
      <w:tblPr>
        <w:tblW w:w="8687" w:type="dxa"/>
        <w:jc w:val="left"/>
        <w:tblInd w:w="0" w:type="dxa"/>
        <w:tblLayout w:type="fixed"/>
        <w:tblCellMar>
          <w:top w:w="0" w:type="dxa"/>
          <w:left w:w="0" w:type="dxa"/>
          <w:bottom w:w="0" w:type="dxa"/>
          <w:right w:w="0" w:type="dxa"/>
        </w:tblCellMar>
      </w:tblPr>
      <w:tblGrid>
        <w:gridCol w:w="6031"/>
        <w:gridCol w:w="346"/>
        <w:gridCol w:w="211"/>
        <w:gridCol w:w="901"/>
        <w:gridCol w:w="146"/>
        <w:gridCol w:w="211"/>
        <w:gridCol w:w="84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829685" cy="175260"/>
                      <wp:effectExtent l="0" t="0" r="0" b="0"/>
                      <wp:wrapNone/>
                      <wp:docPr id="58" name="Frame57"/>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72135" cy="175260"/>
                      <wp:effectExtent l="0" t="0" r="0" b="0"/>
                      <wp:wrapNone/>
                      <wp:docPr id="61" name="Frame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710" cy="175260"/>
                      <wp:effectExtent l="0" t="0" r="0" b="0"/>
                      <wp:wrapNone/>
                      <wp:docPr id="62" name="Frame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34035" cy="175260"/>
                      <wp:effectExtent l="0" t="0" r="0" b="0"/>
                      <wp:wrapNone/>
                      <wp:docPr id="64" name="Frame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(41,721)</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7,581</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discounts on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discount and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foreign currency exchange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loss on long-lived asset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benefit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(2,064)</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and R&amp;D incentive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(36,190)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sales and maturities of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107,282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143,589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(332,362)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(47,573)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(225,133)</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96,006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term loan,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common stock in at-the-market offerings,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72,273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common stock and pre-funded warrants,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281,400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activities,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289,544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86,363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146,179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43,802</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36,968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63,050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183,147</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received from income tax refunds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SUPPLEMENTAL NON-CASH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issuance cost in 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322</w:t>
            </w:r>
          </w:p>
        </w:tc>
      </w:tr>
    </w:tbl>
    <w:p>
      <w:pPr>
        <w:pStyle w:val="TextBody"/>
        <w:bidi w:val="0"/>
        <w:spacing w:before="0" w:after="240"/>
        <w:ind w:left="0" w:right="0" w:hanging="0"/>
        <w:jc w:val="both"/>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 unaudited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ALTIMMUNE, INC.</w:t>
      </w:r>
    </w:p>
    <w:p>
      <w:pPr>
        <w:pStyle w:val="TextBody"/>
        <w:bidi w:val="0"/>
        <w:spacing w:before="0" w:after="0"/>
        <w:ind w:left="0" w:right="0" w:hanging="0"/>
        <w:jc w:val="center"/>
        <w:rPr>
          <w:rFonts w:ascii="Times New Roman;Times;serif" w:hAnsi="Times New Roman;Times;serif"/>
          <w:b/>
          <w:sz w:val="20"/>
        </w:rPr>
      </w:pPr>
      <w:bookmarkStart w:id="743" w:name="NOTESTOCONSOLIDATEDFINANCIALSTATEMENTS_4"/>
      <w:bookmarkEnd w:id="743"/>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 and Basis of Presentation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Altimmune, Inc., headquartered in Gaithersburg, Maryland, United States, together with its subsidiaries (collectively, the “Company” or “Altimmune”) is a late clinical-stage biopharmaceutical company incorporated under the laws of the State of Delaware.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16, 2026, the Company announced plans to relocate its corporate headquarters from Gaithersburg, Maryland to Morristown, New Jersey later this year. The new headquarters is in a region with a strong presence of biopharmaceutical companies, which is expected to support the Company’s ability to attract top-tier talent in its hybrid business model, as the Company continues its growth as a late-stage development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developing novel therapies for serious liver diseases. The Company’s lead product candidate is pemvidutide (formerly known as ALT-801), a balanced 1:1 glucagon/GLP-1 dual receptor agonist in development for the treatment of metabolic dysfunction-associated steatohepatitis (“MASH”), alcohol use disorder (“AUD”) and alcohol-associated liver disease (“ALD”). The Company may also pursue additional indications for pemvidutide that leverage its differentiated clinical profile. Since its inception, the Company has devoted substantially all of its efforts to business strategy and planning, research and development, recruiting management and technical staff, and raising capital, and has financed its operations through the issuance of common and preferred stock, long-term debt, and proceeds from research grants and government contracts. The Company has not generated any revenues from the sale of any products to date, and there is no assurance of any future revenues from product sales.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consolidated financial statements are prepared pursuant to the rules and regulations of the U.S. Securities and Exchange Commission (“SEC”) regarding interim financial reporting. Accordingly, they do not include all of the information and disclosures required by accounting principles generally accepted in the United States (“U.S. GAAP”) for complete consolidated financial statements and should be read in conjunction with the audited consolidated financial statements for the year ended December 31, 2025, included in the Annual Report on Form 10-K, which was filed with the SEC on March 6, 2026. In the opinion of management, the Company has prepared the accompanying unaudited consolidated financial statements on the same basis as the audited consolidated financial statements, and these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2026 or any future years or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consolidated financial statements include the accounts of the Company and its wholly owned subsidiaries. All significant intercompany accounts and transactions have been eliminated in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consolidated financial statements have been prepared on the basis of continuity of operations, realization of assets, and the satisfaction of liabilities in the ordinary course of business. The financial statements do not include any adjustments relating to the recoverability and classification of recorded assets and liabilities that might be necessary should the Company be unable to continue as a going concern.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there have been no significant changes to the Company’s summary of significant accounting policies contained in the Company’s Annual Report on Form 10-K for the year ended December 31, 2025, as filed with the SEC on March 6,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amounts reported in the financial statements and accompanying notes. Significant estimates and assumptions made in the accompanying consolidated financial statements include, but are not limited to, the valuation of share-based awards, income taxes, prepaids, and accruals for research and development activities. The Company bases its estimates on historical experience and on various other assumptions that are believed to be reasonable. However, actual results could differ from those estimates.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Impairment or Disposal of 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Long-lived assets are reviewed for impairment whenever events or changes in circumstances indicate the carrying value of such assets may not be recoverable in accordance with the guidance in Financial Accounting Standards Board (“FASB”) Accounting Standards Codification Topic 360, Property, Plant and Equipment (“ASC 360”). The Company’s long-lived assets include properties and equipment and right of use (“ROU”) assets. For long-lived assets, impairment is recognized when the undiscounted cash flows used in the test for recoverability are less than their carrying value, and the fair value of the long-lived asset is below the carrying value. In the event impairment exists, the long-lived asset will be written down to its fair value, and an impairment loss is recorded as the difference between the carrying value and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the Company recognized an impairment charge of $0.7 million related to its office and laboratory lease ROU asset and underlying leasehold improvements and equipment as the Company vacated portions of the lease premises. In addition, following the announcement of the relocation of the Company’s headquarters from Gaithersburg, Maryland to Morristown, New Jersey, the Company recognized an additional impairment charge of $0.8 million during the three months ended June 30, 2026 related to its remaining lease ROU asset and underlying leasehold improvements. The Company determined the fair value of each asset group using a discounted cash flow model based on the expected sublease income utilizing its current borrowing rate. The inputs utilized for the non-recurring fair value measurement are unobservable and considered level 3 in the fair value hierarchy. The impairment charge was recorded in “Research and development expense” in the Consolidated Statement of Operations and Comprehensive Loss, and reduced the carrying amount of the underlying long-lived assets to fair value.</w:t>
      </w:r>
    </w:p>
    <w:p>
      <w:pPr>
        <w:pStyle w:val="TextBody"/>
        <w:bidi w:val="0"/>
        <w:spacing w:before="0" w:after="240"/>
        <w:ind w:left="0" w:right="0" w:hanging="0"/>
        <w:jc w:val="left"/>
        <w:rPr>
          <w:rFonts w:ascii="Times New Roman;Times;serif" w:hAnsi="Times New Roman;Times;serif"/>
          <w:b/>
          <w:sz w:val="20"/>
        </w:rPr>
      </w:pPr>
      <w:bookmarkStart w:id="744" w:name="Tc_8shLVb4mFEm6MRNHjyIhaw_8_12"/>
      <w:bookmarkStart w:id="745" w:name="Tc_73Pt21CPsE6fqEhrQYL-rg_8_11"/>
      <w:bookmarkStart w:id="746" w:name="Tc_sMfoMVDZlEyKIB2si9N2Hw_8_8"/>
      <w:bookmarkStart w:id="747" w:name="Tc_doDfZFHX0UC4hAHTxSQbHA_8_5"/>
      <w:bookmarkStart w:id="748" w:name="Tc_jSKU3gJIQEmdNXOeGWwYIQ_8_2"/>
      <w:bookmarkStart w:id="749" w:name="Tc_K5VLN_ZNOE2_6XkMEFroIw_8_0"/>
      <w:bookmarkStart w:id="750" w:name="Tc_Knibnhmc6ku6azqEyDR6yw_7_12"/>
      <w:bookmarkStart w:id="751" w:name="Tc_ZY5abXYrhEGQ-N8sm1bLKw_7_6"/>
      <w:bookmarkStart w:id="752" w:name="Tc_K-FRb6y2u0uLn9-cjCm7Ig_7_0"/>
      <w:bookmarkStart w:id="753" w:name="Tc_BJ2xjGCHQ0SJlsACR1ruvA_6_12"/>
      <w:bookmarkStart w:id="754" w:name="Tc_jOQE4ZyN9UOzsZ2KI6rXUg_6_6"/>
      <w:bookmarkStart w:id="755" w:name="Tc_e8KvEFTLOUuqFwbEndpnVQ_6_0"/>
      <w:bookmarkStart w:id="756" w:name="Tc_YzGelsy10UWxll_hQd_jkA_5_12"/>
      <w:bookmarkStart w:id="757" w:name="Tc_WB6dmjLMQESPzeDQzMxpBw_5_6"/>
      <w:bookmarkStart w:id="758" w:name="Tc_4X2etjtRTUeKej5mRoY9fA_5_0"/>
      <w:bookmarkStart w:id="759" w:name="Tc_JctwWkfQK0i7GRhT-J4tFQ_4_12"/>
      <w:bookmarkStart w:id="760" w:name="Tc_tm20TLfBNEaFBnzDDlGvDw_4_11"/>
      <w:bookmarkStart w:id="761" w:name="Tc_fPWNvCCbG0ajEhNHx3Jnyw_4_9"/>
      <w:bookmarkStart w:id="762" w:name="Tc_hJfR-z0TEUSltiYRhCNahw_4_8"/>
      <w:bookmarkStart w:id="763" w:name="Tc_dGSugfzsNUWtBagqWNXx6g_4_5"/>
      <w:bookmarkStart w:id="764" w:name="Tc_VoQ2wW9C6kO0TT3-P3dcpA_4_2"/>
      <w:bookmarkStart w:id="765" w:name="Tc_bZmKqjm5ikS_Urf7occGvg_4_0"/>
      <w:bookmarkStart w:id="766" w:name="Tc_BlwaRcvmOE2qhNxeHGcBJw_3_0"/>
      <w:bookmarkStart w:id="767" w:name="Tc_yTLA7Dk3CkOQkoxrXe3peA_2_11"/>
      <w:bookmarkStart w:id="768" w:name="Tc_y2gWEjh0vEWdQbtUsAbPRA_2_8"/>
      <w:bookmarkStart w:id="769" w:name="Tc_UA-8Z4TK6UiMeLwLWnSuPw_2_5"/>
      <w:bookmarkStart w:id="770" w:name="Tc_X4CjrYoJ2U-kvaQkvBHAqA_2_2"/>
      <w:bookmarkStart w:id="771" w:name="Tc_SYI2IeQzO0eV5vmK5mSebw_1_2"/>
      <w:bookmarkStart w:id="772" w:name="_fc2d4d11_57ac_4573_8900_04ebe661d234"/>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b/>
          <w:sz w:val="20"/>
        </w:rPr>
        <w:t>3. Fair Value Measurements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assets measured at fair value on a recurring basis as of June 30, 2026, consisted of the following (in thousands):</w:t>
      </w:r>
    </w:p>
    <w:tbl>
      <w:tblPr>
        <w:tblW w:w="8246" w:type="dxa"/>
        <w:jc w:val="left"/>
        <w:tblInd w:w="0" w:type="dxa"/>
        <w:tblLayout w:type="fixed"/>
        <w:tblCellMar>
          <w:top w:w="0" w:type="dxa"/>
          <w:left w:w="0" w:type="dxa"/>
          <w:bottom w:w="0" w:type="dxa"/>
          <w:right w:w="0" w:type="dxa"/>
        </w:tblCellMar>
      </w:tblPr>
      <w:tblGrid>
        <w:gridCol w:w="3316"/>
        <w:gridCol w:w="346"/>
        <w:gridCol w:w="211"/>
        <w:gridCol w:w="781"/>
        <w:gridCol w:w="346"/>
        <w:gridCol w:w="211"/>
        <w:gridCol w:w="676"/>
        <w:gridCol w:w="346"/>
        <w:gridCol w:w="211"/>
        <w:gridCol w:w="781"/>
        <w:gridCol w:w="346"/>
        <w:gridCol w:w="215"/>
        <w:gridCol w:w="460"/>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05660" cy="175260"/>
                      <wp:effectExtent l="0" t="0" r="0" b="0"/>
                      <wp:wrapNone/>
                      <wp:docPr id="65" name="Frame6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9260" cy="175260"/>
                      <wp:effectExtent l="0" t="0" r="0" b="0"/>
                      <wp:wrapNone/>
                      <wp:docPr id="71" name="Frame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6525" cy="175260"/>
                      <wp:effectExtent l="0" t="0" r="0" b="0"/>
                      <wp:wrapNone/>
                      <wp:docPr id="76" name="Frame7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92100" cy="175260"/>
                      <wp:effectExtent l="0" t="0" r="0" b="0"/>
                      <wp:wrapNone/>
                      <wp:docPr id="77" name="Frame76"/>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8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June 30, 2026</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US treasury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19,958</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263,273</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460"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192,247</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495,892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475,478</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pPr>
      <w:bookmarkStart w:id="773" w:name="Tc_39tt55XQEU-MZC0VlMa6EA_9_11"/>
      <w:bookmarkStart w:id="774" w:name="Tc_FuXKEEveQEGHwr7Zeia5uQ_9_9"/>
      <w:bookmarkStart w:id="775" w:name="Tc_2AlconiyaEWpVKLuw16KMQ_9_8"/>
      <w:bookmarkStart w:id="776" w:name="Tc_iPWLpdNtQUmiMEUh4FhIJQ_9_5"/>
      <w:bookmarkStart w:id="777" w:name="Tc_FMwrrfRZfk-3-3P4Jzay8A_9_2"/>
      <w:bookmarkStart w:id="778" w:name="Tc_iFC4d6Puy0iOg97SCbUp-A_9_0"/>
      <w:bookmarkStart w:id="779" w:name="Tc_y0-wnV5LcUGkfKPmBx91nw_8_9"/>
      <w:bookmarkStart w:id="780" w:name="Tc_4xh07oyb1UKbenqayfJobg_8_0"/>
      <w:bookmarkStart w:id="781" w:name="Tc_KekRsBhNZkmJFPYVD6o4rg_7_9"/>
      <w:bookmarkStart w:id="782" w:name="Tc_e_-BNwQ3M0yUEjQKKl72rg_7_0"/>
      <w:bookmarkStart w:id="783" w:name="Tc_l5ldDSD8VkqaO-6r0CnWkQ_6_9"/>
      <w:bookmarkStart w:id="784" w:name="Tc_C8aJlhXjqUWAidZTxQjAYw_6_0"/>
      <w:bookmarkStart w:id="785" w:name="Tc_2UMB-9SFCUaBmoyxLHiQaw_5_11"/>
      <w:bookmarkStart w:id="786" w:name="Tc_L_wXiizoTEyBOL2AUTIYqQ_5_9"/>
      <w:bookmarkStart w:id="787" w:name="Tc_UAKU0-w4oEe-Pe5QDXugcA_5_8"/>
      <w:bookmarkStart w:id="788" w:name="Tc__WLda_si_kmV5Irui59awA_5_5"/>
      <w:bookmarkStart w:id="789" w:name="Tc_O6QKzAOVKkOYb1TcWaYOAQ_5_2"/>
      <w:bookmarkStart w:id="790" w:name="Tc_XsHn-NMBo0KBAXZitjZ09g_5_0"/>
      <w:bookmarkStart w:id="791" w:name="Tc_fj1QTY-I7U6Un7CbNtwpfw_4_0"/>
      <w:bookmarkStart w:id="792" w:name="Tc_ESiw93OYqkOHyq3qekOG_A_3_11"/>
      <w:bookmarkStart w:id="793" w:name="Tc_8xZnYZ2KkUeEOvsEFFMfBg_3_8"/>
      <w:bookmarkStart w:id="794" w:name="Tc_PCeqiTRMMkSzwATzQso_7g_3_5"/>
      <w:bookmarkStart w:id="795" w:name="Tc_fGxjwQOQ1EmnX2ARSbSPLA_3_2"/>
      <w:bookmarkStart w:id="796" w:name="Tc_zXGKLZh0yESjD2sNbc_n2w_2_8"/>
      <w:bookmarkStart w:id="797" w:name="Tc_NdZNE92nCUiqregEqSulsw_2_5"/>
      <w:bookmarkStart w:id="798" w:name="Tc_ky2wBHv6XkCF4zBB55f2Vw_1_2"/>
      <w:bookmarkStart w:id="799" w:name="_a5cebb09_0c1a_4737_abe9_6cf0d1c8e696"/>
      <w:bookmarkStart w:id="800" w:name="Tc_v3y4DFWpN0K6RLPa7IG93A_13_11"/>
      <w:bookmarkStart w:id="801" w:name="Tc_g9gmard0JUCJ3mpkuKlETg_13_9"/>
      <w:bookmarkStart w:id="802" w:name="Tc__FLkWnL6H0qQqlUqUbgZ2w_13_8"/>
      <w:bookmarkStart w:id="803" w:name="Tc_eFJEOdrMkU2SZvRSGR7B6w_13_5"/>
      <w:bookmarkStart w:id="804" w:name="Tc_qniWj5L_Rka6Kv2WGq3Lqg_13_2"/>
      <w:bookmarkStart w:id="805" w:name="Tc_DtcWSHEpcEK2BE_LJ4_Hvg_13_0"/>
      <w:bookmarkStart w:id="806" w:name="Tc_Fl-wtheQyEa5NT9kU8Laqg_12_9"/>
      <w:bookmarkStart w:id="807" w:name="Tc_piA5YlQlw0a1Wcaofi7CoA_12_0"/>
      <w:bookmarkStart w:id="808" w:name="Tc_j_iskJiixEeKoqGFERP-3g_11_9"/>
      <w:bookmarkStart w:id="809" w:name="Tc_A_79xyGtskCnmykAXQg9Aw_11_0"/>
      <w:bookmarkStart w:id="810" w:name="Tc_KY45B1O3qkedKcV0R7sLBg_10_11"/>
      <w:bookmarkStart w:id="811" w:name="Tc_Qr5OehgSJ02sRYRnpXyDdg_10_9"/>
      <w:bookmarkStart w:id="812" w:name="Tc_USxDDWBAcUeGQWP81AlKYg_10_8"/>
      <w:bookmarkStart w:id="813" w:name="Tc_xOYDtlmKWUerxHnXQcfblg_10_2"/>
      <w:bookmarkStart w:id="814" w:name="Tc_pdivNXA3q062y5ZGioh-1Q_10_0"/>
      <w:bookmarkStart w:id="815" w:name="Tc_tAG1FYrlMEeYh5VrTLDrXg_9_0"/>
      <w:bookmarkStart w:id="816" w:name="Tc_RfhgbPFUaU2TM7juhVd0XQ_8_9"/>
      <w:bookmarkStart w:id="817" w:name="Tc_rAc_401rfUOA6_VlaGj3tQ_8_0"/>
      <w:bookmarkStart w:id="818" w:name="Tc_1KLGC4zKpU-915gB0TqGKg_7_9"/>
      <w:bookmarkStart w:id="819" w:name="Tc_3dRX_-J6CESA-AEK3rPpKA_7_0"/>
      <w:bookmarkStart w:id="820" w:name="Tc_xm4G0oHKPkSHTtZFIDcICw_6_9"/>
      <w:bookmarkStart w:id="821" w:name="Tc_ELI7yF92oEKVx2CYempdng_6_0"/>
      <w:bookmarkStart w:id="822" w:name="Tc_eN0bjfb4-ESdJGGMslGQcQ_5_11"/>
      <w:bookmarkStart w:id="823" w:name="Tc_KEAdnlLrrEa9ovNddS4JMg_5_9"/>
      <w:bookmarkStart w:id="824" w:name="Tc_x2eW7svL-E2tJzvCAaxwzA_5_8"/>
      <w:bookmarkStart w:id="825" w:name="Tc_SEjPLbNLPU6ZvmiobNkaGQ_5_5"/>
      <w:bookmarkStart w:id="826" w:name="Tc_IkkpoIZedEi0Jr9t5xd5mg_5_2"/>
      <w:bookmarkStart w:id="827" w:name="Tc_COzHSP-mDk2btid0giX4_w_5_0"/>
      <w:bookmarkStart w:id="828" w:name="Tc_zlO4RSU5a06Mg8VRfAb64Q_4_0"/>
      <w:bookmarkStart w:id="829" w:name="Tc_0V0HuEfQRkmCwQPPbbTYgw_3_11"/>
      <w:bookmarkStart w:id="830" w:name="Tc_M2my4ZYR2E-yhcscUx-d3Q_3_8"/>
      <w:bookmarkStart w:id="831" w:name="Tc_fvqIaFlmUUavyj3m4soneA_3_5"/>
      <w:bookmarkStart w:id="832" w:name="Tc_grpMhtHf7Ue7YYiBzmUxzw_3_2"/>
      <w:bookmarkStart w:id="833" w:name="Tc_1BFxzVyyDEayzydeD4K-nA_2_8"/>
      <w:bookmarkStart w:id="834" w:name="Tc_ggH3ALmT_ECXRg-LeQBfAg_2_5"/>
      <w:bookmarkStart w:id="835" w:name="Tc_i1lpsT8fmUSodXzYFSJFpA_1_2"/>
      <w:bookmarkStart w:id="836" w:name="_d6760985_1955_4d90_9b3d_e6ead790ca0b"/>
      <w:bookmarkStart w:id="837" w:name="Tc_oQJRJiqF506Y6M-ETk3sdA_7_12"/>
      <w:bookmarkStart w:id="838" w:name="Tc_JgM_m1VkEEiT4BUmFBdC0Q_7_11"/>
      <w:bookmarkStart w:id="839" w:name="Tc_TmOH7deEOEmuZHDfeaxZCg_7_8"/>
      <w:bookmarkStart w:id="840" w:name="Tc_-OBgc4SVwUScVE22DvTBvA_7_5"/>
      <w:bookmarkStart w:id="841" w:name="Tc_LEXHHNPJlUGKyIRYojVqsg_7_2"/>
      <w:bookmarkStart w:id="842" w:name="Tc_8iwNnT9DL0SumTIUzOxyKQ_7_0"/>
      <w:bookmarkStart w:id="843" w:name="Tc_eQCOdo7P7U-xE4gZDwke9w_6_12"/>
      <w:bookmarkStart w:id="844" w:name="Tc_k73fR90K4kGZBRMSXnBlQg_6_6"/>
      <w:bookmarkStart w:id="845" w:name="Tc_4oxYJD7tK02D6z_OM_IZvQ_6_0"/>
      <w:bookmarkStart w:id="846" w:name="Tc_k5neh6Mu4UaeVytVNmy-4g_5_12"/>
      <w:bookmarkStart w:id="847" w:name="Tc_wSPDpRXh-Ee5OJCObzu9hQ_5_6"/>
      <w:bookmarkStart w:id="848" w:name="Tc_fDHi7f4TOEG4-XkqMEExVg_5_0"/>
      <w:bookmarkStart w:id="849" w:name="Tc_qznmvgjVO0WjwacAYAC2PQ_4_12"/>
      <w:bookmarkStart w:id="850" w:name="Tc_2VBmu9ALD0ysm4JdBeWH9g_4_11"/>
      <w:bookmarkStart w:id="851" w:name="Tc_2PzxI4Clykmv5OJ1nXbPrw_4_9"/>
      <w:bookmarkStart w:id="852" w:name="Tc_96JF0HjaP0KgNXzplRHvvw_4_8"/>
      <w:bookmarkStart w:id="853" w:name="Tc_uAJk4nAx7k-99ykQvktqfQ_4_5"/>
      <w:bookmarkStart w:id="854" w:name="Tc_1b6OwUO_rkSDK_t_gpZ77w_4_2"/>
      <w:bookmarkStart w:id="855" w:name="Tc_VPT_vFh2RU-F6ncjNylSlw_4_0"/>
      <w:bookmarkStart w:id="856" w:name="Tc_6Vog3816ZkyJjBe53vj7vQ_3_0"/>
      <w:bookmarkStart w:id="857" w:name="Tc_HTQA0r_04kOiRKlglC6j1A_2_11"/>
      <w:bookmarkStart w:id="858" w:name="Tc_Nv4aYtGbjUaTcXZ6OnF-pw_2_8"/>
      <w:bookmarkStart w:id="859" w:name="Tc_IaFOXhi21EmPlbEsXUJNCQ_2_5"/>
      <w:bookmarkStart w:id="860" w:name="Tc_U9PBtuxJpUe_ihMgLlfIEw_2_2"/>
      <w:bookmarkStart w:id="861" w:name="Tc_XAae0E__mES_J3UkGkoBBw_1_2"/>
      <w:bookmarkStart w:id="862" w:name="_9e9e3ab0_84b2_469d_b352_5c721fb18043"/>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assets measured at fair value on a recurring basis as of December 31, 2025, consisted of the following (in thousands):</w:t>
      </w:r>
    </w:p>
    <w:tbl>
      <w:tblPr>
        <w:tblW w:w="8247" w:type="dxa"/>
        <w:jc w:val="left"/>
        <w:tblInd w:w="0" w:type="dxa"/>
        <w:tblLayout w:type="fixed"/>
        <w:tblCellMar>
          <w:top w:w="0" w:type="dxa"/>
          <w:left w:w="0" w:type="dxa"/>
          <w:bottom w:w="0" w:type="dxa"/>
          <w:right w:w="0" w:type="dxa"/>
        </w:tblCellMar>
      </w:tblPr>
      <w:tblGrid>
        <w:gridCol w:w="3316"/>
        <w:gridCol w:w="346"/>
        <w:gridCol w:w="211"/>
        <w:gridCol w:w="781"/>
        <w:gridCol w:w="346"/>
        <w:gridCol w:w="211"/>
        <w:gridCol w:w="676"/>
        <w:gridCol w:w="346"/>
        <w:gridCol w:w="211"/>
        <w:gridCol w:w="781"/>
        <w:gridCol w:w="346"/>
        <w:gridCol w:w="215"/>
        <w:gridCol w:w="46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05660" cy="175260"/>
                      <wp:effectExtent l="0" t="0" r="0" b="0"/>
                      <wp:wrapNone/>
                      <wp:docPr id="78" name="Frame77"/>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5935" cy="175260"/>
                      <wp:effectExtent l="0" t="0" r="0" b="0"/>
                      <wp:wrapNone/>
                      <wp:docPr id="81"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6525" cy="175260"/>
                      <wp:effectExtent l="0" t="0" r="0" b="0"/>
                      <wp:wrapNone/>
                      <wp:docPr id="89" name="Frame8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92735" cy="175260"/>
                      <wp:effectExtent l="0" t="0" r="0" b="0"/>
                      <wp:wrapNone/>
                      <wp:docPr id="90" name="Frame89"/>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8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December 31, 2025</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commercial paper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5,969</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229,696</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235,665</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Investments in marketable securities have been initially valued at the transaction price and subsequently valued at the end of each reporting period utilizing third party pricing services or other market observable data (Level 2). The pricing services utilize industry standard valuation models, including both income and market-based approaches and observable market inputs to determine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Investments with quoted prices as of June 30, 2026, as shown below (in thousands):</w:t>
      </w:r>
    </w:p>
    <w:tbl>
      <w:tblPr>
        <w:tblW w:w="10205" w:type="dxa"/>
        <w:jc w:val="left"/>
        <w:tblInd w:w="0" w:type="dxa"/>
        <w:tblLayout w:type="fixed"/>
        <w:tblCellMar>
          <w:top w:w="0" w:type="dxa"/>
          <w:left w:w="0" w:type="dxa"/>
          <w:bottom w:w="0" w:type="dxa"/>
          <w:right w:w="0" w:type="dxa"/>
        </w:tblCellMar>
      </w:tblPr>
      <w:tblGrid>
        <w:gridCol w:w="3581"/>
        <w:gridCol w:w="346"/>
        <w:gridCol w:w="257"/>
        <w:gridCol w:w="952"/>
        <w:gridCol w:w="346"/>
        <w:gridCol w:w="501"/>
        <w:gridCol w:w="1146"/>
        <w:gridCol w:w="346"/>
        <w:gridCol w:w="466"/>
        <w:gridCol w:w="767"/>
        <w:gridCol w:w="346"/>
        <w:gridCol w:w="220"/>
        <w:gridCol w:w="931"/>
      </w:tblGrid>
      <w:tr>
        <w:trPr/>
        <w:tc>
          <w:tcPr>
            <w:tcW w:w="3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73935" cy="175260"/>
                      <wp:effectExtent l="0" t="0" r="0" b="0"/>
                      <wp:wrapNone/>
                      <wp:docPr id="91" name="Frame90"/>
                      <a:graphic xmlns:a="http://schemas.openxmlformats.org/drawingml/2006/main">
                        <a:graphicData uri="http://schemas.microsoft.com/office/word/2010/wordprocessingShape">
                          <wps:wsp>
                            <wps:cNvSpPr txBox="1"/>
                            <wps:spPr>
                              <a:xfrm>
                                <a:off x="0" y="0"/>
                                <a:ext cx="227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3195" cy="175260"/>
                      <wp:effectExtent l="0" t="0" r="0" b="0"/>
                      <wp:wrapNone/>
                      <wp:docPr id="93" name="Frame9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04520" cy="175260"/>
                      <wp:effectExtent l="0" t="0" r="0" b="0"/>
                      <wp:wrapNone/>
                      <wp:docPr id="94" name="Frame93"/>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18135" cy="175260"/>
                      <wp:effectExtent l="0" t="0" r="0" b="0"/>
                      <wp:wrapNone/>
                      <wp:docPr id="96" name="Frame95"/>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27710" cy="175260"/>
                      <wp:effectExtent l="0" t="0" r="0" b="0"/>
                      <wp:wrapNone/>
                      <wp:docPr id="97" name="Frame96"/>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95910" cy="175260"/>
                      <wp:effectExtent l="0" t="0" r="0" b="0"/>
                      <wp:wrapNone/>
                      <wp:docPr id="99" name="Frame9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87045" cy="175260"/>
                      <wp:effectExtent l="0" t="0" r="0" b="0"/>
                      <wp:wrapNone/>
                      <wp:docPr id="100" name="Frame9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9700" cy="175260"/>
                      <wp:effectExtent l="0" t="0" r="0" b="0"/>
                      <wp:wrapNone/>
                      <wp:docPr id="102" name="Frame10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91185" cy="175260"/>
                      <wp:effectExtent l="0" t="0" r="0" b="0"/>
                      <wp:wrapNone/>
                      <wp:docPr id="103" name="Frame1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27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1"/>
              <w:ind w:left="0" w:right="0" w:hanging="0"/>
              <w:jc w:val="center"/>
              <w:rPr/>
            </w:pPr>
            <w:r>
              <w:rPr/>
              <w:t>​</w:t>
            </w:r>
          </w:p>
        </w:tc>
        <w:tc>
          <w:tcPr>
            <w:tcW w:w="12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1"/>
              <w:ind w:left="0" w:right="0" w:hanging="0"/>
              <w:jc w:val="center"/>
              <w:rPr/>
            </w:pPr>
            <w:r>
              <w:rPr/>
              <w:t>​</w:t>
            </w:r>
          </w:p>
        </w:tc>
        <w:tc>
          <w:tcPr>
            <w:tcW w:w="1151" w:type="dxa"/>
            <w:gridSpan w:val="2"/>
            <w:tcBorders/>
            <w:vAlign w:val="center"/>
          </w:tcPr>
          <w:p>
            <w:pPr>
              <w:pStyle w:val="TableContents"/>
              <w:bidi w:val="0"/>
              <w:spacing w:before="0" w:after="1"/>
              <w:ind w:left="0" w:right="0" w:hanging="0"/>
              <w:jc w:val="center"/>
              <w:rPr/>
            </w:pPr>
            <w:r>
              <w:rPr/>
              <w:t>​</w:t>
            </w:r>
          </w:p>
        </w:tc>
      </w:tr>
      <w:tr>
        <w:trPr/>
        <w:tc>
          <w:tcPr>
            <w:tcW w:w="3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1"/>
              <w:ind w:left="0" w:right="0" w:hanging="0"/>
              <w:jc w:val="left"/>
              <w:rPr/>
            </w:pPr>
            <w:r>
              <w:rPr/>
              <w:t>​</w:t>
            </w:r>
          </w:p>
        </w:tc>
        <w:tc>
          <w:tcPr>
            <w:tcW w:w="1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(Loss) Gain</w:t>
            </w:r>
          </w:p>
        </w:tc>
        <w:tc>
          <w:tcPr>
            <w:tcW w:w="346" w:type="dxa"/>
            <w:tcBorders/>
            <w:vAlign w:val="center"/>
          </w:tcPr>
          <w:p>
            <w:pPr>
              <w:pStyle w:val="TableContents"/>
              <w:bidi w:val="0"/>
              <w:spacing w:before="0" w:after="1"/>
              <w:ind w:left="0" w:right="0" w:hanging="0"/>
              <w:jc w:val="left"/>
              <w:rPr/>
            </w:pPr>
            <w:r>
              <w:rPr/>
              <w:t>​</w:t>
            </w:r>
          </w:p>
        </w:tc>
        <w:tc>
          <w:tcPr>
            <w:tcW w:w="12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w:t>
            </w:r>
          </w:p>
        </w:tc>
        <w:tc>
          <w:tcPr>
            <w:tcW w:w="346" w:type="dxa"/>
            <w:tcBorders/>
            <w:vAlign w:val="center"/>
          </w:tcPr>
          <w:p>
            <w:pPr>
              <w:pStyle w:val="TableContents"/>
              <w:bidi w:val="0"/>
              <w:spacing w:before="0" w:after="1"/>
              <w:ind w:left="0" w:right="0" w:hanging="0"/>
              <w:jc w:val="left"/>
              <w:rPr/>
            </w:pPr>
            <w:r>
              <w:rPr/>
              <w:t>​</w:t>
            </w:r>
          </w:p>
        </w:tc>
        <w:tc>
          <w:tcPr>
            <w:tcW w:w="11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Value</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Original maturities of 1 year or less: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1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treasury securities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29,498</w:t>
            </w:r>
          </w:p>
        </w:tc>
        <w:tc>
          <w:tcPr>
            <w:tcW w:w="346" w:type="dxa"/>
            <w:tcBorders/>
            <w:shd w:fill="CCEEFF" w:val="clear"/>
            <w:vAlign w:val="center"/>
          </w:tcPr>
          <w:p>
            <w:pPr>
              <w:pStyle w:val="TableContents"/>
              <w:bidi w:val="0"/>
              <w:spacing w:before="0" w:after="1"/>
              <w:ind w:left="0" w:right="0" w:hanging="0"/>
              <w:jc w:val="left"/>
              <w:rPr/>
            </w:pPr>
            <w:r>
              <w:rPr/>
              <w:t>  ​ ​ ​</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  ​ ​ ​</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29,471</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 and corporate debt securities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158,153</w:t>
            </w:r>
          </w:p>
        </w:tc>
        <w:tc>
          <w:tcPr>
            <w:tcW w:w="34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11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158,006</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75,881</w:t>
            </w:r>
          </w:p>
        </w:tc>
        <w:tc>
          <w:tcPr>
            <w:tcW w:w="346" w:type="dxa"/>
            <w:tcBorders/>
            <w:shd w:fill="CCEEFF" w:val="clear"/>
            <w:vAlign w:val="center"/>
          </w:tcPr>
          <w:p>
            <w:pPr>
              <w:pStyle w:val="TableContents"/>
              <w:bidi w:val="0"/>
              <w:spacing w:before="0" w:after="1"/>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75,796</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263,532</w:t>
            </w:r>
          </w:p>
        </w:tc>
        <w:tc>
          <w:tcPr>
            <w:tcW w:w="346" w:type="dxa"/>
            <w:tcBorders/>
            <w:vAlign w:val="center"/>
          </w:tcPr>
          <w:p>
            <w:pPr>
              <w:pStyle w:val="TableContents"/>
              <w:bidi w:val="0"/>
              <w:spacing w:before="0" w:after="1"/>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263,273</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Original maturities of over 1 year through 5 years: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left"/>
              <w:rPr/>
            </w:pPr>
            <w:r>
              <w:rPr/>
              <w:t>​</w:t>
            </w:r>
          </w:p>
        </w:tc>
        <w:tc>
          <w:tcPr>
            <w:tcW w:w="11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 and corporate debt securities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173,101</w:t>
            </w:r>
          </w:p>
        </w:tc>
        <w:tc>
          <w:tcPr>
            <w:tcW w:w="34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11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172,398</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19,885</w:t>
            </w:r>
          </w:p>
        </w:tc>
        <w:tc>
          <w:tcPr>
            <w:tcW w:w="346" w:type="dxa"/>
            <w:tcBorders/>
            <w:shd w:fill="CCEEFF" w:val="clear"/>
            <w:vAlign w:val="center"/>
          </w:tcPr>
          <w:p>
            <w:pPr>
              <w:pStyle w:val="TableContents"/>
              <w:bidi w:val="0"/>
              <w:spacing w:before="0" w:after="1"/>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19,849</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192,986</w:t>
            </w:r>
          </w:p>
        </w:tc>
        <w:tc>
          <w:tcPr>
            <w:tcW w:w="346" w:type="dxa"/>
            <w:tcBorders/>
            <w:vAlign w:val="center"/>
          </w:tcPr>
          <w:p>
            <w:pPr>
              <w:pStyle w:val="TableContents"/>
              <w:bidi w:val="0"/>
              <w:spacing w:before="0" w:after="1"/>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192,247</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456,518</w:t>
            </w:r>
          </w:p>
        </w:tc>
        <w:tc>
          <w:tcPr>
            <w:tcW w:w="346" w:type="dxa"/>
            <w:tcBorders/>
            <w:shd w:fill="CCEEFF" w:val="clear"/>
            <w:vAlign w:val="center"/>
          </w:tcPr>
          <w:p>
            <w:pPr>
              <w:pStyle w:val="TableContents"/>
              <w:bidi w:val="0"/>
              <w:spacing w:before="0" w:after="1"/>
              <w:ind w:left="0" w:right="0" w:hanging="0"/>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455,520</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Investments with quoted prices as of December 31, 2025, as shown below (in thousands):</w:t>
      </w:r>
    </w:p>
    <w:tbl>
      <w:tblPr>
        <w:tblW w:w="10205" w:type="dxa"/>
        <w:jc w:val="left"/>
        <w:tblInd w:w="0" w:type="dxa"/>
        <w:tblLayout w:type="fixed"/>
        <w:tblCellMar>
          <w:top w:w="0" w:type="dxa"/>
          <w:left w:w="0" w:type="dxa"/>
          <w:bottom w:w="0" w:type="dxa"/>
          <w:right w:w="0" w:type="dxa"/>
        </w:tblCellMar>
      </w:tblPr>
      <w:tblGrid>
        <w:gridCol w:w="3581"/>
        <w:gridCol w:w="346"/>
        <w:gridCol w:w="257"/>
        <w:gridCol w:w="952"/>
        <w:gridCol w:w="346"/>
        <w:gridCol w:w="547"/>
        <w:gridCol w:w="1100"/>
        <w:gridCol w:w="346"/>
        <w:gridCol w:w="466"/>
        <w:gridCol w:w="767"/>
        <w:gridCol w:w="346"/>
        <w:gridCol w:w="220"/>
        <w:gridCol w:w="931"/>
      </w:tblGrid>
      <w:tr>
        <w:trPr/>
        <w:tc>
          <w:tcPr>
            <w:tcW w:w="3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73935" cy="175260"/>
                      <wp:effectExtent l="0" t="0" r="0" b="0"/>
                      <wp:wrapNone/>
                      <wp:docPr id="104" name="Frame103"/>
                      <a:graphic xmlns:a="http://schemas.openxmlformats.org/drawingml/2006/main">
                        <a:graphicData uri="http://schemas.microsoft.com/office/word/2010/wordprocessingShape">
                          <wps:wsp>
                            <wps:cNvSpPr txBox="1"/>
                            <wps:spPr>
                              <a:xfrm>
                                <a:off x="0" y="0"/>
                                <a:ext cx="227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3195" cy="175260"/>
                      <wp:effectExtent l="0" t="0" r="0" b="0"/>
                      <wp:wrapNone/>
                      <wp:docPr id="106" name="Frame10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04520" cy="175260"/>
                      <wp:effectExtent l="0" t="0" r="0" b="0"/>
                      <wp:wrapNone/>
                      <wp:docPr id="107" name="Frame106"/>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47345" cy="175260"/>
                      <wp:effectExtent l="0" t="0" r="0" b="0"/>
                      <wp:wrapNone/>
                      <wp:docPr id="109" name="Frame108"/>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8500" cy="175260"/>
                      <wp:effectExtent l="0" t="0" r="0" b="0"/>
                      <wp:wrapNone/>
                      <wp:docPr id="110" name="Frame109"/>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95910" cy="175260"/>
                      <wp:effectExtent l="0" t="0" r="0" b="0"/>
                      <wp:wrapNone/>
                      <wp:docPr id="112" name="Frame11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87045" cy="175260"/>
                      <wp:effectExtent l="0" t="0" r="0" b="0"/>
                      <wp:wrapNone/>
                      <wp:docPr id="113" name="Frame112"/>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9700" cy="175260"/>
                      <wp:effectExtent l="0" t="0" r="0" b="0"/>
                      <wp:wrapNone/>
                      <wp:docPr id="115" name="Frame11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16" name="Frame1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27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1"/>
              <w:ind w:left="0" w:right="0" w:hanging="0"/>
              <w:jc w:val="left"/>
              <w:rPr/>
            </w:pPr>
            <w:r>
              <w:rPr/>
              <w:t>​</w:t>
            </w:r>
          </w:p>
        </w:tc>
        <w:tc>
          <w:tcPr>
            <w:tcW w:w="12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1"/>
              <w:ind w:left="0" w:right="0" w:hanging="0"/>
              <w:jc w:val="left"/>
              <w:rPr/>
            </w:pPr>
            <w:r>
              <w:rPr/>
              <w:t>​</w:t>
            </w:r>
          </w:p>
        </w:tc>
        <w:tc>
          <w:tcPr>
            <w:tcW w:w="1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(Loss) Gain</w:t>
            </w:r>
          </w:p>
        </w:tc>
        <w:tc>
          <w:tcPr>
            <w:tcW w:w="346" w:type="dxa"/>
            <w:tcBorders/>
            <w:vAlign w:val="center"/>
          </w:tcPr>
          <w:p>
            <w:pPr>
              <w:pStyle w:val="TableContents"/>
              <w:bidi w:val="0"/>
              <w:spacing w:before="0" w:after="1"/>
              <w:ind w:left="0" w:right="0" w:hanging="0"/>
              <w:jc w:val="left"/>
              <w:rPr/>
            </w:pPr>
            <w:r>
              <w:rPr/>
              <w:t>​</w:t>
            </w:r>
          </w:p>
        </w:tc>
        <w:tc>
          <w:tcPr>
            <w:tcW w:w="12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w:t>
            </w:r>
          </w:p>
        </w:tc>
        <w:tc>
          <w:tcPr>
            <w:tcW w:w="346" w:type="dxa"/>
            <w:tcBorders/>
            <w:vAlign w:val="center"/>
          </w:tcPr>
          <w:p>
            <w:pPr>
              <w:pStyle w:val="TableContents"/>
              <w:bidi w:val="0"/>
              <w:spacing w:before="0" w:after="1"/>
              <w:ind w:left="0" w:right="0" w:hanging="0"/>
              <w:jc w:val="left"/>
              <w:rPr/>
            </w:pPr>
            <w:r>
              <w:rPr/>
              <w:t>​</w:t>
            </w:r>
          </w:p>
        </w:tc>
        <w:tc>
          <w:tcPr>
            <w:tcW w:w="11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Value</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Original maturities of 1 year or less: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center"/>
              <w:rPr/>
            </w:pPr>
            <w:r>
              <w:rPr/>
              <w:t>​</w:t>
            </w:r>
          </w:p>
        </w:tc>
        <w:tc>
          <w:tcPr>
            <w:tcW w:w="9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center"/>
              <w:rPr/>
            </w:pPr>
            <w:r>
              <w:rPr/>
              <w:t>​</w:t>
            </w:r>
          </w:p>
        </w:tc>
        <w:tc>
          <w:tcPr>
            <w:tcW w:w="110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treasury securities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83,730</w:t>
            </w:r>
          </w:p>
        </w:tc>
        <w:tc>
          <w:tcPr>
            <w:tcW w:w="346" w:type="dxa"/>
            <w:tcBorders/>
            <w:shd w:fill="CCEEFF" w:val="clear"/>
            <w:vAlign w:val="center"/>
          </w:tcPr>
          <w:p>
            <w:pPr>
              <w:pStyle w:val="TableContents"/>
              <w:bidi w:val="0"/>
              <w:spacing w:before="0" w:after="1"/>
              <w:ind w:left="0" w:right="0" w:hanging="0"/>
              <w:jc w:val="left"/>
              <w:rPr/>
            </w:pPr>
            <w:r>
              <w:rPr/>
              <w:t>  ​ ​ ​</w:t>
            </w:r>
          </w:p>
        </w:tc>
        <w:tc>
          <w:tcPr>
            <w:tcW w:w="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1"/>
              <w:ind w:left="0" w:right="0" w:hanging="0"/>
              <w:jc w:val="left"/>
              <w:rPr/>
            </w:pPr>
            <w:r>
              <w:rPr/>
              <w:t>  ​ ​ ​</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83,792</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 and corporate debt securities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127,934</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127,975</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backed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 </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w:t>
            </w:r>
          </w:p>
        </w:tc>
      </w:tr>
      <w:tr>
        <w:trPr/>
        <w:tc>
          <w:tcPr>
            <w:tcW w:w="3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debt securities</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9,920</w:t>
            </w:r>
          </w:p>
        </w:tc>
        <w:tc>
          <w:tcPr>
            <w:tcW w:w="346" w:type="dxa"/>
            <w:tcBorders/>
            <w:vAlign w:val="center"/>
          </w:tcPr>
          <w:p>
            <w:pPr>
              <w:pStyle w:val="TableContents"/>
              <w:bidi w:val="0"/>
              <w:spacing w:before="0" w:after="1"/>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9,922</w:t>
            </w:r>
          </w:p>
        </w:tc>
      </w:tr>
      <w:tr>
        <w:trPr/>
        <w:tc>
          <w:tcPr>
            <w:tcW w:w="3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229,584</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229,696</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none of the unrealized losses on the Company’s investments are a result of credit loss, therefore, any unrealized losses were recognized in other comprehensive income (OCI).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the Company had $3.3 million and $1.1 million, respectively, accrued interest on investments included in “Accounts and other receivables” on the accompanying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carrying amounts of the Company’s debt approximate fair value because the rates are floating rates based on the prime lending rate, which approximates market rates (see Note 5) and represents a Level 2 fair value measurement.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 disclosure is required for assets and liabilities measured at fair value on a recurring basis from those measured at fair value on a non-recurring basis. Assets recorded at fair value on a non-recurring basis, such as property and equipment and intangible assets are recognized at fair value when they are impaired. Other than the long-lived assets disclosed in Note 2, as of June 30, 2026 and December 31, 2025, the Company had no other assets or liabilities that were measured at fair value on a non-recurring basis.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63" w:name="Tc_iT991BVYckWdKdCiW-ntwg_7_5"/>
      <w:bookmarkStart w:id="864" w:name="Tc_teK5Mqe7eUGi8bZijvcQfQ_7_2"/>
      <w:bookmarkStart w:id="865" w:name="Tc_Scxk1-BInEqjid2nCIlt5A_7_0"/>
      <w:bookmarkStart w:id="866" w:name="Tc_5CwO6br__kSY3WX2eHEdPw_6_0"/>
      <w:bookmarkStart w:id="867" w:name="Tc_SrWp1s5JB0WjuPjXmsWV0Q_5_0"/>
      <w:bookmarkStart w:id="868" w:name="Tc_ydUwBBZZu0K0NI0hzbTocA_4_0"/>
      <w:bookmarkStart w:id="869" w:name="Tc_YIEosXkMNUuy3_ZKis_QuA_3_0"/>
      <w:bookmarkStart w:id="870" w:name="Tc_AnMq8I_5xkWtYEqv9tK4Dw_2_5"/>
      <w:bookmarkStart w:id="871" w:name="Tc__aTcSFU2CkeoJheB3eqY-Q_2_2"/>
      <w:bookmarkStart w:id="872" w:name="Tc_Z7vn8NwwV0qQgLHMSseBzA_2_0"/>
      <w:bookmarkStart w:id="873" w:name="Tc_qDfWplo-Fkumd11h6AbFOg_1_5"/>
      <w:bookmarkStart w:id="874" w:name="Tc_W9ZOj1cfLkWz7iEYEoLcCQ_1_2"/>
      <w:bookmarkStart w:id="875" w:name="_76a70aac_1a78_41c1_b65f_0539d8ad67da"/>
      <w:bookmarkEnd w:id="863"/>
      <w:bookmarkEnd w:id="864"/>
      <w:bookmarkEnd w:id="865"/>
      <w:bookmarkEnd w:id="866"/>
      <w:bookmarkEnd w:id="867"/>
      <w:bookmarkEnd w:id="868"/>
      <w:bookmarkEnd w:id="869"/>
      <w:bookmarkEnd w:id="870"/>
      <w:bookmarkEnd w:id="871"/>
      <w:bookmarkEnd w:id="872"/>
      <w:bookmarkEnd w:id="873"/>
      <w:bookmarkEnd w:id="874"/>
      <w:bookmarkEnd w:id="875"/>
      <w:r>
        <w:rPr>
          <w:rFonts w:ascii="Times New Roman;Times;serif" w:hAnsi="Times New Roman;Times;serif"/>
          <w:b/>
          <w:sz w:val="20"/>
        </w:rPr>
        <w:t>4. Accrued Expenses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Accrued expenses and other current liabilities consist of the following (in thousands):</w:t>
      </w:r>
    </w:p>
    <w:tbl>
      <w:tblPr>
        <w:tblW w:w="7388" w:type="dxa"/>
        <w:jc w:val="left"/>
        <w:tblInd w:w="0" w:type="dxa"/>
        <w:tblLayout w:type="fixed"/>
        <w:tblCellMar>
          <w:top w:w="0" w:type="dxa"/>
          <w:left w:w="0" w:type="dxa"/>
          <w:bottom w:w="0" w:type="dxa"/>
          <w:right w:w="0" w:type="dxa"/>
        </w:tblCellMar>
      </w:tblPr>
      <w:tblGrid>
        <w:gridCol w:w="4261"/>
        <w:gridCol w:w="346"/>
        <w:gridCol w:w="267"/>
        <w:gridCol w:w="859"/>
        <w:gridCol w:w="109"/>
        <w:gridCol w:w="328"/>
        <w:gridCol w:w="1218"/>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705735" cy="175260"/>
                      <wp:effectExtent l="0" t="0" r="0" b="0"/>
                      <wp:wrapNone/>
                      <wp:docPr id="117" name="Frame116"/>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9545" cy="175260"/>
                      <wp:effectExtent l="0" t="0" r="0" b="0"/>
                      <wp:wrapNone/>
                      <wp:docPr id="119" name="Frame11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45465" cy="175260"/>
                      <wp:effectExtent l="0" t="0" r="0" b="0"/>
                      <wp:wrapNone/>
                      <wp:docPr id="120" name="Frame11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8280" cy="175260"/>
                      <wp:effectExtent l="0" t="0" r="0" b="0"/>
                      <wp:wrapNone/>
                      <wp:docPr id="122" name="Frame12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73430" cy="175260"/>
                      <wp:effectExtent l="0" t="0" r="0" b="0"/>
                      <wp:wrapNone/>
                      <wp:docPr id="123" name="Frame12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professional services</w:t>
            </w:r>
          </w:p>
        </w:tc>
        <w:tc>
          <w:tcPr>
            <w:tcW w:w="346" w:type="dxa"/>
            <w:tcBorders/>
            <w:shd w:fill="CCEEFF" w:val="clear"/>
            <w:vAlign w:val="center"/>
          </w:tcPr>
          <w:p>
            <w:pPr>
              <w:pStyle w:val="TableContents"/>
              <w:bidi w:val="0"/>
              <w:spacing w:before="0" w:after="1"/>
              <w:ind w:left="0" w:right="0" w:hanging="0"/>
              <w:jc w:val="left"/>
              <w:rPr/>
            </w:pPr>
            <w:r>
              <w:rPr/>
              <w:t>  ​ ​ ​</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w:t>
            </w:r>
          </w:p>
        </w:tc>
        <w:tc>
          <w:tcPr>
            <w:tcW w:w="109"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employee benefits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109"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4,676</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6,186</w:t>
            </w:r>
          </w:p>
        </w:tc>
        <w:tc>
          <w:tcPr>
            <w:tcW w:w="109"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6,110</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obligation, current portion</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109"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11,229</w:t>
            </w:r>
          </w:p>
        </w:tc>
        <w:tc>
          <w:tcPr>
            <w:tcW w:w="109"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12,280</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Term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13, 2025 (“Closing Date”), the Company and certain of its subsidiaries entered into a Loan and Security Agreement (as amended, the “Loan Agreement”) with Hercules Capital, Inc. (“Hercules”) and the lenders party thereto, pursuant to which the lenders will make available up to four tranches of term loans in an aggregate principal amount of $100.0 million (the “Term Loan”), subject to certain terms and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terms of the Loan Agreement, the first Term Loan tranche was drawn down on the Closing Date in an aggregate principal amount of $15.0 million. Upon the achievement of certain milestones and subject to other terms and conditions set out in the Loan Agreement, (i) the second Term Loan tranche was to be made available in an aggregate principal amount of up to $25.0 million and (ii) the third Term Loan tranche was to be made available in an aggregate principal amount of up to $15.0 million. The fourth Term Loan tranche was to be made available in an aggregate principal amount of up to $45.0 million subject to the approval of the lenders. The Term Loan had interest rate equal to the greater of (a)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as reported in The Wall Street Journal plus 2.45% and (b) (i) 9.95% until December 31, 2025, and (ii) 9.45% thereafter.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5, 2025, (the “Amendment Closing”), the Company entered into an amendment to the Loan Agreement with Hercules and the lenders party thereto, pursuant to which the lenders will, subject to certain terms and conditions, increase the availability under the Term Loan from an aggregate principal amount of $100.0 million to $125.0 million. The Term Loan, as amended, is structured in four tranches. As described above, the first Term Loan tranche was drawn down on the Closing Date in an aggregate principal amount of $15.0 million. The second Term Loan tranche was drawn down on the Amendment Closing in an aggregate principal amount of $20.0 million. Upon the achievement of certain milestones and subject to other terms and conditions set out in the Loan Agreement, as amended, the third Term Loan tranche will be made available in an aggregate principal amount of up to $10.0 million. The fourth Term Loan tranche will be made available in an aggregate principal amount of up to $80.0 million subject to the approval of the lenders. The Term Loan, as amended, bears interest equal to the greater of (a) 9.70% per annum and (b)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as reported in The Wall Street Journal plus 2.45% per annum. The interest-only period has been extended to 30 months from May 13,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Term Loan will mature on January 1, 2029 (the “Maturity Date”). The Company may make payments of interest only through December 1, 2027, which will be extended to June 1, 2028, or December 1, 2028, if certain conditions described in the Loan Agreement, as amended, are met. Thereafter, the Company is obligated to make payments that will include installments of principal and interest through the Maturity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876" w:name="Tc_UAV_62b3aEaiTw83of39TQ_7_5"/>
      <w:bookmarkStart w:id="877" w:name="Tc_hg3bclNA50eyQiIEec0Ixg_7_2"/>
      <w:bookmarkStart w:id="878" w:name="Tc_wkpkZhoDYk6JRdrHRJZH4Q_7_0"/>
      <w:bookmarkStart w:id="879" w:name="Tc_R7JK3aPOeUGgJHJZKKIK_w_6_6"/>
      <w:bookmarkStart w:id="880" w:name="Tc_vIcBhgfI60Wu6OucUD4P3Q_6_3"/>
      <w:bookmarkStart w:id="881" w:name="Tc_NdcJ_a_dJkKvX8gKDxpadQ_6_0"/>
      <w:bookmarkStart w:id="882" w:name="Tc_B5GupwXqeUag9EdUO_r1UQ_5_0"/>
      <w:bookmarkStart w:id="883" w:name="Tc_g0KbHzlJVEegl8KZli1RcA_4_0"/>
      <w:bookmarkStart w:id="884" w:name="Tc_eXrr5tALz0-QTWhIhMerpw_3_0"/>
      <w:bookmarkStart w:id="885" w:name="Tc_-Hi4NC_f3EeweHz_sp8jfQ_2_5"/>
      <w:bookmarkStart w:id="886" w:name="Tc_rzj1eUomaU64AB5JBt9ljw_2_2"/>
      <w:bookmarkStart w:id="887" w:name="Tc_fgIetoOFb02Or-HMBFC4zQ_2_0"/>
      <w:bookmarkStart w:id="888" w:name="Tc_L0EkE3KYy0WTljh_28kpXA_1_5"/>
      <w:bookmarkStart w:id="889" w:name="Tc_xBg9nwGxx0KYauZ-_sPnuQ_1_2"/>
      <w:bookmarkStart w:id="890" w:name="_f0d050a8_7bcb_4a95_9c94_bdff348d0eb9"/>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sz w:val="20"/>
        </w:rPr>
        <w:t>The Loan Agreement includes customary representations and warranties and covenants associated with the Term Loan. Such terms include (1) covenants concerning financial and other reporting obligations, and (2) certain limitations on indebtedness, liens, investments, distributions (including dividends), collateral, transfers, mergers or acquisitions, taxes, corporate changes, and deposit accounts. Compliance with the financial covenant will be conditionally waived pursuant to the terms of the Loan Agreement when the Company’s market capitalization exceeds $800 million. The Loan Agreement includes customary events of default, including payment defaults, breaches of representations and warranties, breaches of covenants following any applicable cure period and the occurrence of certain events that could reasonably be expected to have a “material adverse effect” as set forth in the Loan Agreement. As of June 30, 2026, the Company was in compliance with the covenants under the Loan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obligation under the Loan Agreement is secured by a security interest in substantially all of the Company’s assets and the assets of its subsidiaries that are co-borrowers or guarantors. Upon the occurrence of an event of default, Hercules will be entitled to exercise remedies, including acceleration of the Term Loan obligations and foreclosure on collateral.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Loan Agreement, as amended, provides for a prepayment charge equal to 3.0% of the outstanding principal balance of the Term Loan if prepayment is made within the twelve months after Amendment Closing, 2.0% if within the twenty-four months after Amendment Closing, 1.0% if within the thirty-six months after Amendment Closing and 0.0% thereafter. The Loan Agreement provides for an end of term charge of 6.25% of the funded loan amount, due at the earlier of prepayment or maturity. Pro-rata payment of any earned end of term charge will be due upon any partial prepayment (the “End of Term Charge”). In addition, the Loan Agreement requires the Company to pay a facility charge of 1.0% of the Term Loan funded due at the Closing Date and of each subsequent Term Loan tranche at the time such tranche is funded.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accounted for the End of Term Charge, Facility Charge, and other direct costs incurred in connection with the Loan Agreement and its amendment as a debt discount and issuance costs, and they are being amortized over the term of the loan using the effective interest method. The weighted-average effective interest rate on the Term Loan is 13.37%.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incurred interest expense on the Term Loan, including debt discount and issuance costs amortization, of $1.1 million and $0.3 million during the three months ended June 30, 2026 and 2025, respectively, and $2.2 million and $0.3 million during the six months ended June 30, 2026 and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Term Loan consists of the following (in thousands):</w:t>
      </w:r>
    </w:p>
    <w:tbl>
      <w:tblPr>
        <w:tblW w:w="6815" w:type="dxa"/>
        <w:jc w:val="left"/>
        <w:tblInd w:w="0" w:type="dxa"/>
        <w:tblLayout w:type="fixed"/>
        <w:tblCellMar>
          <w:top w:w="0" w:type="dxa"/>
          <w:left w:w="0" w:type="dxa"/>
          <w:bottom w:w="0" w:type="dxa"/>
          <w:right w:w="0" w:type="dxa"/>
        </w:tblCellMar>
      </w:tblPr>
      <w:tblGrid>
        <w:gridCol w:w="3451"/>
        <w:gridCol w:w="346"/>
        <w:gridCol w:w="267"/>
        <w:gridCol w:w="859"/>
        <w:gridCol w:w="346"/>
        <w:gridCol w:w="328"/>
        <w:gridCol w:w="1218"/>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1385" cy="175260"/>
                      <wp:effectExtent l="0" t="0" r="0" b="0"/>
                      <wp:wrapNone/>
                      <wp:docPr id="124" name="Frame12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9545" cy="175260"/>
                      <wp:effectExtent l="0" t="0" r="0" b="0"/>
                      <wp:wrapNone/>
                      <wp:docPr id="126" name="Frame12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45465" cy="175260"/>
                      <wp:effectExtent l="0" t="0" r="0" b="0"/>
                      <wp:wrapNone/>
                      <wp:docPr id="127" name="Frame12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8280" cy="175260"/>
                      <wp:effectExtent l="0" t="0" r="0" b="0"/>
                      <wp:wrapNone/>
                      <wp:docPr id="129" name="Frame12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3430" cy="175260"/>
                      <wp:effectExtent l="0" t="0" r="0" b="0"/>
                      <wp:wrapNone/>
                      <wp:docPr id="130" name="Frame12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principal amount</w:t>
            </w:r>
          </w:p>
        </w:tc>
        <w:tc>
          <w:tcPr>
            <w:tcW w:w="346" w:type="dxa"/>
            <w:tcBorders/>
            <w:shd w:fill="CCEEFF" w:val="clear"/>
            <w:vAlign w:val="center"/>
          </w:tcPr>
          <w:p>
            <w:pPr>
              <w:pStyle w:val="TableContents"/>
              <w:bidi w:val="0"/>
              <w:spacing w:before="0" w:after="1"/>
              <w:ind w:left="0" w:right="0" w:hanging="0"/>
              <w:jc w:val="left"/>
              <w:rPr/>
            </w:pPr>
            <w:r>
              <w:rPr/>
              <w:t>  ​ ​ ​</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1"/>
              <w:ind w:left="0" w:right="0" w:hanging="0"/>
              <w:jc w:val="left"/>
              <w:rPr/>
            </w:pPr>
            <w:r>
              <w:rPr/>
              <w:t>  ​ ​ ​</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 of term charge</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discount and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term loan</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34,742</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34,287</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term loan, net of current portion</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34,742</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34,287</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891" w:name="Tc_uW85wZBgJEi4b9I1mYA9gg_9_2"/>
      <w:bookmarkStart w:id="892" w:name="Tc_aIuqdplxJk-tFBXM-JZbOw_9_0"/>
      <w:bookmarkStart w:id="893" w:name="Tc_PyTBFk6DTEiyKEwlOP-PUw_8_3"/>
      <w:bookmarkStart w:id="894" w:name="Tc_arGooGHTdE2oQh_DA-Ajdg_8_0"/>
      <w:bookmarkStart w:id="895" w:name="Tc_ArrdmazPkky8o2lZmJAh7A_7_0"/>
      <w:bookmarkStart w:id="896" w:name="Tc_oY5ns0CbpkuIEjR4j1jfrg_6_0"/>
      <w:bookmarkStart w:id="897" w:name="Tc_lp-75SQRBECDNi-Bsjw2Jw_5_0"/>
      <w:bookmarkStart w:id="898" w:name="Tc_oNHePkKrLUep-6gGj-j1AA_4_0"/>
      <w:bookmarkStart w:id="899" w:name="Tc_LkK-8Om2mk6rArObsXXldQ_3_0"/>
      <w:bookmarkStart w:id="900" w:name="Tc_IAoxmyAgYkyWpQxnVAvvtw_2_0"/>
      <w:bookmarkStart w:id="901" w:name="Tc_1-SuHcQmrEir3tiLWlTzTw_1_3"/>
      <w:bookmarkStart w:id="902" w:name="Tc_ruD_9ao2GkmDnoz9ZcQAKg_1_2"/>
      <w:bookmarkStart w:id="903" w:name="Tc_Vc8CTubEfkmiIlEiaOChEA_1_0"/>
      <w:bookmarkStart w:id="904" w:name="_4363d799_9066_4b11_b8e0_46431fdadf22"/>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Times;serif" w:hAnsi="Times New Roman;Times;serif"/>
          <w:sz w:val="20"/>
        </w:rPr>
        <w:t>Future principal loan payments on the currently outstanding Term Loan as of June 30, 2026 are as follows (in thousands):</w:t>
      </w:r>
    </w:p>
    <w:tbl>
      <w:tblPr>
        <w:tblW w:w="5017" w:type="dxa"/>
        <w:jc w:val="left"/>
        <w:tblInd w:w="0" w:type="dxa"/>
        <w:tblLayout w:type="fixed"/>
        <w:tblCellMar>
          <w:top w:w="0" w:type="dxa"/>
          <w:left w:w="0" w:type="dxa"/>
          <w:bottom w:w="0" w:type="dxa"/>
          <w:right w:w="0" w:type="dxa"/>
        </w:tblCellMar>
      </w:tblPr>
      <w:tblGrid>
        <w:gridCol w:w="3916"/>
        <w:gridCol w:w="109"/>
        <w:gridCol w:w="211"/>
        <w:gridCol w:w="78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486660" cy="175260"/>
                      <wp:effectExtent l="0" t="0" r="0" b="0"/>
                      <wp:wrapNone/>
                      <wp:docPr id="131" name="Frame130"/>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5935" cy="175260"/>
                      <wp:effectExtent l="0" t="0" r="0" b="0"/>
                      <wp:wrapNone/>
                      <wp:docPr id="134" name="Frame1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1,712</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21,611</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principal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End of term charge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discount and issuance costs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term loan</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term loan, net of current portion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34,742</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05" w:name="Tc_-846GaEBikOMWRrzN1bimQ_5_5"/>
      <w:bookmarkStart w:id="906" w:name="Tc_RdESJfhsskqHY0dWXhWQ7w_5_2"/>
      <w:bookmarkStart w:id="907" w:name="Tc_L9MNp6h4w0afY0xWOflt5w_5_0"/>
      <w:bookmarkStart w:id="908" w:name="Tc_Xi4EHlV1i0-11d09gNh9mg_4_0"/>
      <w:bookmarkStart w:id="909" w:name="Tc_hXM-D9_HlUuQDkkn6OcuAg_3_0"/>
      <w:bookmarkStart w:id="910" w:name="Tc__a1Fk2Y9F0GuUXi1zvMWpQ_2_5"/>
      <w:bookmarkStart w:id="911" w:name="Tc_Q9cDxYDxdU-jH42DLBHVSA_2_2"/>
      <w:bookmarkStart w:id="912" w:name="Tc_o5i-ip8h30OrdWl8jUF21A_2_0"/>
      <w:bookmarkStart w:id="913" w:name="Tc_H8peA-PY5EGI3lWlTa_diQ_1_5"/>
      <w:bookmarkStart w:id="914" w:name="Tc_7keFEVvcj0SyW4ksIeKMEg_1_2"/>
      <w:bookmarkStart w:id="915" w:name="_fedc331f_dbdc_4373_8789_56188f9b6f13"/>
      <w:bookmarkEnd w:id="905"/>
      <w:bookmarkEnd w:id="906"/>
      <w:bookmarkEnd w:id="907"/>
      <w:bookmarkEnd w:id="908"/>
      <w:bookmarkEnd w:id="909"/>
      <w:bookmarkEnd w:id="910"/>
      <w:bookmarkEnd w:id="911"/>
      <w:bookmarkEnd w:id="912"/>
      <w:bookmarkEnd w:id="913"/>
      <w:bookmarkEnd w:id="914"/>
      <w:bookmarkEnd w:id="915"/>
      <w:r>
        <w:rPr>
          <w:rFonts w:ascii="Times New Roman;Times;serif" w:hAnsi="Times New Roman;Times;serif"/>
          <w:b/>
          <w:sz w:val="20"/>
        </w:rPr>
        <w:t>6. Other Noncurrent Liabilities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Company’s other noncurrent liabilities are summarized as follows (in thousands):</w:t>
      </w:r>
    </w:p>
    <w:tbl>
      <w:tblPr>
        <w:tblW w:w="6758" w:type="dxa"/>
        <w:jc w:val="left"/>
        <w:tblInd w:w="0" w:type="dxa"/>
        <w:tblLayout w:type="fixed"/>
        <w:tblCellMar>
          <w:top w:w="0" w:type="dxa"/>
          <w:left w:w="0" w:type="dxa"/>
          <w:bottom w:w="0" w:type="dxa"/>
          <w:right w:w="0" w:type="dxa"/>
        </w:tblCellMar>
      </w:tblPr>
      <w:tblGrid>
        <w:gridCol w:w="3631"/>
        <w:gridCol w:w="346"/>
        <w:gridCol w:w="303"/>
        <w:gridCol w:w="823"/>
        <w:gridCol w:w="109"/>
        <w:gridCol w:w="367"/>
        <w:gridCol w:w="1179"/>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305685" cy="175260"/>
                      <wp:effectExtent l="0" t="0" r="0" b="0"/>
                      <wp:wrapNone/>
                      <wp:docPr id="135" name="Frame134"/>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92405" cy="175260"/>
                      <wp:effectExtent l="0" t="0" r="0" b="0"/>
                      <wp:wrapNone/>
                      <wp:docPr id="137" name="Frame13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22605" cy="175260"/>
                      <wp:effectExtent l="0" t="0" r="0" b="0"/>
                      <wp:wrapNone/>
                      <wp:docPr id="138" name="Frame13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33045" cy="175260"/>
                      <wp:effectExtent l="0" t="0" r="0" b="0"/>
                      <wp:wrapNone/>
                      <wp:docPr id="140" name="Frame13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48665" cy="175260"/>
                      <wp:effectExtent l="0" t="0" r="0" b="0"/>
                      <wp:wrapNone/>
                      <wp:docPr id="141" name="Frame14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incentive credit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4,448</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obligation, long-term portion</w:t>
            </w:r>
          </w:p>
        </w:tc>
        <w:tc>
          <w:tcPr>
            <w:tcW w:w="346" w:type="dxa"/>
            <w:tcBorders/>
            <w:vAlign w:val="center"/>
          </w:tcPr>
          <w:p>
            <w:pPr>
              <w:pStyle w:val="TableContents"/>
              <w:bidi w:val="0"/>
              <w:spacing w:before="0" w:after="1"/>
              <w:ind w:left="0" w:right="0" w:hanging="0"/>
              <w:jc w:val="left"/>
              <w:rPr/>
            </w:pPr>
            <w:r>
              <w:rPr/>
              <w:t>  ​ ​ ​</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Conditional economic incentive grants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noncurrent liabilities</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5,753</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Stockholders’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April 16, 2026, the Company amended its Certificate of Incorporation (the “Charter”) by filing a Certificate of Amendment (the “Amendment”) with the Secretary of State of Delaware. The Amendment increased the number of authorized shares of common stock from 200,000,000 to 400,000,000 and was approved by the holders of more than a majority of the votes cast at the 2026 Annual Meeting of Shareholders (the “2026 AMS”). The Amendment authorized the Company to issue 400,000,000 shares of common stock, par value $0.0001 per share. As of June 30, 2026, the Company had 194,474,154 shares of common stock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share of common stock entitles the holder to one vote on all matters submitted to a vote of the Company’s stockholders. Common stockholders are not entitled to receive dividends, unless declared by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Charter also authorized the Company to issue 1,000,000 shares of preferred stock, par value $0.0001 per share. As of June 30, 2026, the Company had no shares of preferred stock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At-the-Market (ATM) Offerings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6, 2025, the Company entered into an Equity Distribution Agreement (the “November 2025 Agreement”) with Leerink Partners LLC serving as sales agent (the “November 2025 Sales Agent”) with respect to an ATM offerings program under which the Company may offer and sell, from time to time at its sole discretion, shares of its common stock, having an aggregate offering price of up to $200.0 million (the “November 2025 Shares”) through the November 2025 Sales Agent (the “November 2025 Offering”). All of the November 2025 Shares offered and sold in the November 2025 Offering will be issued pursuant to the Company’s Registration Statement on Form S-3 filed with the SEC on February 27, 2025, which was declared effective on March 13, 2025, and the prospectus supplements related to the November 2025 Offering that form a part of the Registration Statement. The Company capitalized approximately $0.2 million of other offering costs which will offset the proceeds received from the shares sold under the November 2025 Agreement. Since inception through June 30, 2026, the Company has sold 7,920,228 shares of common stock under the November 2025 Agreement resulting in approximately $34.2 million in proceeds, net of $0.6 million commission and other offering costs. During the six months ended June 30, 2026, the Company sold 2,021,169 shares of common stock under the November 2025 Agreement resulting in approximately $8.7 million in proceeds, net of $0.1 million commission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other offering costs, and as of June 30, 2026, $165.3 million remained available to be sold under the November 2025 Agreement. As of June 30, 2026, there was $0.2 million deferred offering costs included in prepaid expenses and other current assets on the accompanying consolidated balance sheets.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27, 2025, the Company entered into an Equity Distribution Agreement (the “February 2025 Agreement”) with Leerink Partners LLC, Piper Sandler &amp; Co. and Stifel, Nicolaus &amp; Company, Incorporated, serving as sales agents (the “February 2025 Sales Agents”) with respect to an ATM offerings program under which the Company offered and sold shares of its common stock, having an aggregate offering price of up to $150.0 million (the “February 2025 Shares”) through the February 2025 Sales Agents (the “February 2025 Offering”). All of the February 2025 Shares offered and sold in the February 2025 Offering were issued pursuant to the Company’s Registration Statement on Form S-3 filed with the SEC on February 27, 2025, which was declared effective on March 13, 2025, and the prospectus supplements related to the February 2025 Offering that form a part of the Registration Statement. During the six months ended June 30, 2025, the Company sold 8,052,064 shares of common stock under the February 2025 Agreement resulting in approximately $42.4 million in proceeds, net of $1.4 million commission and other offering costs. Since inception through the termination of the February 2025 Agreement in November 2025, the Company sold 27,896,642 shares of common stock resulting in approximately $118.1 million in proceeds, net of $3.9 million commission and other offering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2023, the Company entered into an Equity Distribution Agreement (the “2023 Agreement”) with Evercore Group L.L.C., JMP Securities LLC and B. Riley Securities, Inc., serving as sales agents (the “2023 Sales Agents”), with respect to an ATM offerings program under which the Company offered and sold shares of its common stock, having an aggregate offering price of up to $150.0 million (the “2023 Shares”) through the 2023 Sales Agents (the “2023 Offering”). All 2023 Shares offered and sold in the 2023 Offering were issued pursuant to the Company’s Registration Statement on Form S-3 filed with the SEC on February 28, 2023. During the six months ended June 30, 2025, the Company sold 4,467,866 shares of common stock under the 2023 Agreement resulting in approximately $30.2 million in proceeds, net of $1.0 million commission and other offering costs. Since inception through the expiration of the 2023 Agreement in February 2025, the Company sold 26,129,903 shares of common stock under the 2023 Agreement resulting in approximately $126.8 million in proceeds, net of $4.1 million commission and other offering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Registered Direct Offering (“RDO”)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27, 2026, the Company entered into a securities purchase agreement with a new fundamental institutional investor pursuant to a registered direct offering under the November 2025 Shelf for the purchase and sale of 12,397,920 shares of its common stock and 4,647,534 pre-funded warrants for net proceeds of approximately $70.3 million, after deducting the offering expenses of approximately $4.7 million (the “January 2026 RDO”). All Shares offered and sold in the January 2026 RDO were issued pursuant to the Company’s Registration Statement on Form S-3 filed with the SEC on November 13, 2025, which was declared effective on December 5, 2025. The pre-funded warrants were fully exercised on February 13, 2026 at an exercise price of $0.001 per share, resulting in the issuance of 4,647,534 shares of the Company’s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pre-funded warrants are indexed to the Company’s common stock and meet the criteria to be classified as equity. Proceeds from the issuance of pre-funded warrants were recorded within additional paid-in capital.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April 2026 Offering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April 22, 2026, the Company entered into an underwriting agreement with certain underwriters pursuant to which the Company offered and sold securities consisting of (i) 64,250,000 shares of its common stock and accompanying common stock warrants to purchase an aggregate of 64,250,000 shares of common stock (or pre-funded warrants in lieu thereof) and (ii) in lieu of common stock, to certain investors that so choose, pre-funded warrants to purchase an aggregate of up to 10,750,000 shares of its common stock and accompanying common stock warrants to purchase an aggregate of 10,750,000 shares of common stock (or pre-funded warrants in lieu thereof), at an exercise price of $0.001 per pre-funded warrant (the “April 2026 Offering”). The common stock and pre-funded warrants were sold in combination with an accompanying common stock warrant to purchase one share of common stock (or </w:t>
      </w:r>
      <w:r>
        <w:rPr>
          <w:rFonts w:ascii="Times New Roman;Times;serif" w:hAnsi="Times New Roman;Times;serif"/>
          <w:b w:val="false"/>
          <w:i w:val="false"/>
          <w:caps w:val="false"/>
          <w:smallCaps w:val="false"/>
          <w:sz w:val="20"/>
        </w:rPr>
        <w:t>pre-funded warran</w:t>
      </w:r>
      <w:r>
        <w:rPr>
          <w:rFonts w:ascii="Times New Roman;Times;serif" w:hAnsi="Times New Roman;Times;serif"/>
          <w:sz w:val="20"/>
        </w:rPr>
        <w:t xml:space="preserve">t in lieu thereof) issued for each share of common stock or pre-funded warrant sold. The accompanying common stock warrant has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16" w:name="Tc_bPlPsqeiGEqEGoQgla2ltQ_8_4"/>
      <w:bookmarkStart w:id="917" w:name="Tc_jX39AOxb7E-pejssB-iT4g_8_0"/>
      <w:bookmarkStart w:id="918" w:name="Tc_VIcIC1iudk27fJdmRQ1GsA_7_0"/>
      <w:bookmarkStart w:id="919" w:name="Tc_LPRYCeJh3k6vpLG-h6c_ng_6_0"/>
      <w:bookmarkStart w:id="920" w:name="Tc_blUG2AGcxUSE1t7KZ52OCQ_5_2"/>
      <w:bookmarkStart w:id="921" w:name="Tc_cfzDey-36EWSilkJ2hl-oQ_5_0"/>
      <w:bookmarkStart w:id="922" w:name="Tc_6WMLxdpgQ0WqndV8xNEU0A_4_7"/>
      <w:bookmarkStart w:id="923" w:name="Tc_DPd5ddfM40GdXFCqXQPcLA_4_5"/>
      <w:bookmarkStart w:id="924" w:name="Tc_OEV1pKJql0GtkHdxpDrQcA_4_2"/>
      <w:bookmarkStart w:id="925" w:name="Tc_ZJAxNQNlGk2oINZV0y6jFg_3_7"/>
      <w:bookmarkStart w:id="926" w:name="Tc_i6Q2hKjpGkW71apNacjgPg_3_5"/>
      <w:bookmarkStart w:id="927" w:name="Tc_5EhfGWUWrE2naMsU8YL6TA_3_2"/>
      <w:bookmarkStart w:id="928" w:name="Tc_IUBiGIfbokW7kPVINfIpLw_2_7"/>
      <w:bookmarkStart w:id="929" w:name="Tc_vaT1zBv_rkqZy08Ddz7bqg_2_5"/>
      <w:bookmarkStart w:id="930" w:name="Tc_jj0FDeBTK0Sw2vzE_0Ul6Q_1_7"/>
      <w:bookmarkStart w:id="931" w:name="_ad47ad67_f596_4e2a_a4c3_6837caeb39bc"/>
      <w:bookmarkStart w:id="932" w:name="Tc_soxETuZNIE-iRD-AhF0Z5w_6_0"/>
      <w:bookmarkStart w:id="933" w:name="Tc_MeYCl3ukxEChkvOXujOmfA_5_9"/>
      <w:bookmarkStart w:id="934" w:name="Tc_mqiYbFGpSUasqdk_wYg7jg_5_7"/>
      <w:bookmarkStart w:id="935" w:name="Tc_GHN8PVY4z0G56F4bNd0FOw_5_0"/>
      <w:bookmarkStart w:id="936" w:name="Tc_RQ3S1cT9ak6pMFzmFJDh_Q_4_9"/>
      <w:bookmarkStart w:id="937" w:name="Tc_JBNh1E5-VESq8ErsY0_cjw_4_7"/>
      <w:bookmarkStart w:id="938" w:name="Tc_HTzruVVNlU6nOiEIAX5QLw_4_4"/>
      <w:bookmarkStart w:id="939" w:name="Tc_N-kNz3by-kqcbBIkCZtC7g_4_0"/>
      <w:bookmarkStart w:id="940" w:name="Tc_pjevxLJMQk-WQuKH0W9LRw_3_9"/>
      <w:bookmarkStart w:id="941" w:name="Tc_1q6-ITgfFUipoMvsNoKBFQ_3_7"/>
      <w:bookmarkStart w:id="942" w:name="Tc_4Q-wUL4XvkaMeMao-JRFvA_3_4"/>
      <w:bookmarkStart w:id="943" w:name="Tc_VBpd3KWukUiZKh_pcodVlA_3_2"/>
      <w:bookmarkStart w:id="944" w:name="Tc_Af2ptgxlfEaQRaLILnvgqg_2_4"/>
      <w:bookmarkStart w:id="945" w:name="Tc_E9feY64xTkqfw6KBeDFSIA_2_2"/>
      <w:bookmarkStart w:id="946" w:name="Tc_98eMzFQPJ0qFDn9NWa9Rbw_1_4"/>
      <w:bookmarkStart w:id="947" w:name="_e35ee2c7_8924_451b_9f50_41620b8ed4df"/>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r>
        <w:rPr>
          <w:rFonts w:ascii="Times New Roman;Times;serif" w:hAnsi="Times New Roman;Times;serif"/>
          <w:sz w:val="20"/>
        </w:rPr>
        <w:t>exercise price of $3.00 per share and is immediately exercisable from the date of issuance. The combined offering price of each share of common stock and accompanying common stock warrant is $3.00. The combined offering price of each pre-funded warrant and accompanying common stock warrant is $2.999. The net proceeds of the April 2026 Offering were approximately $211.1 million, after deducting the underwriting discount and offering expenses of approximately $13.9 million. If all of the common stock warrants sold in the April 2026 Offering were to be exercised in cash at their exercise price, the Company would receive additional gross proceeds of $225 million. All shares of common stock, pre-funded warrants and common stock warrants offered and sold in the April 2026 Offering were issued pursuant to the February 2025 Shelf and November 2025 Shelf and a related registration statement that was filed with the SEC on April 22, 2026 pursuant to Rule 462(b) under the Securities Act of 1933, as amended, and became automatically effective upon filing as permitted under Rule 429.</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pre-funded and common stock warrants are indexed to the Company’s common stock and meet the criteria to be classified as equity. Proceeds from the issuance of pre-funded warrants are recorded within additional paid-in capital.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warrants were outstanding as of June 30, 2026:</w:t>
      </w:r>
    </w:p>
    <w:tbl>
      <w:tblPr>
        <w:tblW w:w="7106" w:type="dxa"/>
        <w:jc w:val="left"/>
        <w:tblInd w:w="0" w:type="dxa"/>
        <w:tblLayout w:type="fixed"/>
        <w:tblCellMar>
          <w:top w:w="0" w:type="dxa"/>
          <w:left w:w="0" w:type="dxa"/>
          <w:bottom w:w="0" w:type="dxa"/>
          <w:right w:w="0" w:type="dxa"/>
        </w:tblCellMar>
      </w:tblPr>
      <w:tblGrid>
        <w:gridCol w:w="2071"/>
        <w:gridCol w:w="146"/>
        <w:gridCol w:w="1036"/>
        <w:gridCol w:w="109"/>
        <w:gridCol w:w="222"/>
        <w:gridCol w:w="603"/>
        <w:gridCol w:w="146"/>
        <w:gridCol w:w="1291"/>
        <w:gridCol w:w="146"/>
        <w:gridCol w:w="133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15085" cy="175260"/>
                      <wp:effectExtent l="0" t="0" r="0" b="0"/>
                      <wp:wrapNone/>
                      <wp:docPr id="142" name="Frame14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2710" cy="175260"/>
                      <wp:effectExtent l="0" t="0" r="0" b="0"/>
                      <wp:wrapNone/>
                      <wp:docPr id="143" name="Frame1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57860" cy="175260"/>
                      <wp:effectExtent l="0" t="0" r="0" b="0"/>
                      <wp:wrapNone/>
                      <wp:docPr id="144" name="Frame14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40970" cy="175260"/>
                      <wp:effectExtent l="0" t="0" r="0" b="0"/>
                      <wp:wrapNone/>
                      <wp:docPr id="146" name="Frame14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82905" cy="175260"/>
                      <wp:effectExtent l="0" t="0" r="0" b="0"/>
                      <wp:wrapNone/>
                      <wp:docPr id="147" name="Frame146"/>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19785" cy="175260"/>
                      <wp:effectExtent l="0" t="0" r="0" b="0"/>
                      <wp:wrapNone/>
                      <wp:docPr id="149" name="Frame148"/>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2710" cy="175260"/>
                      <wp:effectExtent l="0" t="0" r="0" b="0"/>
                      <wp:wrapNone/>
                      <wp:docPr id="150" name="Frame1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848360" cy="175260"/>
                      <wp:effectExtent l="0" t="0" r="0" b="0"/>
                      <wp:wrapNone/>
                      <wp:docPr id="151" name="Frame150"/>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pPr>
            <w:r>
              <w:rPr/>
              <w:t>​</w:t>
            </w:r>
          </w:p>
        </w:tc>
      </w:tr>
      <w:tr>
        <w:trPr/>
        <w:tc>
          <w:tcPr>
            <w:tcW w:w="20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pPr>
            <w:r>
              <w:rPr/>
              <w:t>​</w:t>
            </w:r>
          </w:p>
        </w:tc>
      </w:tr>
      <w:tr>
        <w:trPr/>
        <w:tc>
          <w:tcPr>
            <w:tcW w:w="20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 Date</w:t>
            </w:r>
          </w:p>
        </w:tc>
        <w:tc>
          <w:tcPr>
            <w:tcW w:w="146" w:type="dxa"/>
            <w:tcBorders/>
            <w:vAlign w:val="center"/>
          </w:tcPr>
          <w:p>
            <w:pPr>
              <w:pStyle w:val="TableContents"/>
              <w:bidi w:val="0"/>
              <w:spacing w:before="0" w:after="1"/>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Pre-funded warrants</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10,750,000</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w:t>
            </w:r>
          </w:p>
        </w:tc>
        <w:tc>
          <w:tcPr>
            <w:tcW w:w="1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April 24, 2026</w:t>
            </w:r>
          </w:p>
        </w:tc>
        <w:tc>
          <w:tcPr>
            <w:tcW w:w="14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1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75,000,000</w:t>
            </w:r>
          </w:p>
        </w:tc>
        <w:tc>
          <w:tcPr>
            <w:tcW w:w="109"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1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April 24, 2026</w:t>
            </w:r>
          </w:p>
        </w:tc>
        <w:tc>
          <w:tcPr>
            <w:tcW w:w="1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April 24, 2031</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85,750,000</w:t>
            </w:r>
          </w:p>
        </w:tc>
        <w:tc>
          <w:tcPr>
            <w:tcW w:w="109"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pPr>
            <w:r>
              <w:rPr/>
              <w:t>  ​</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summary of warrant activity is as follows: </w:t>
      </w:r>
    </w:p>
    <w:tbl>
      <w:tblPr>
        <w:tblW w:w="8231" w:type="dxa"/>
        <w:jc w:val="left"/>
        <w:tblInd w:w="0" w:type="dxa"/>
        <w:tblLayout w:type="fixed"/>
        <w:tblCellMar>
          <w:top w:w="0" w:type="dxa"/>
          <w:left w:w="0" w:type="dxa"/>
          <w:bottom w:w="0" w:type="dxa"/>
          <w:right w:w="0" w:type="dxa"/>
        </w:tblCellMar>
      </w:tblPr>
      <w:tblGrid>
        <w:gridCol w:w="3526"/>
        <w:gridCol w:w="346"/>
        <w:gridCol w:w="1051"/>
        <w:gridCol w:w="346"/>
        <w:gridCol w:w="211"/>
        <w:gridCol w:w="1126"/>
        <w:gridCol w:w="109"/>
        <w:gridCol w:w="151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39010" cy="175260"/>
                      <wp:effectExtent l="0" t="0" r="0" b="0"/>
                      <wp:wrapNone/>
                      <wp:docPr id="152" name="Frame151"/>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7385" cy="175260"/>
                      <wp:effectExtent l="0" t="0" r="0" b="0"/>
                      <wp:wrapNone/>
                      <wp:docPr id="154" name="Frame15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15010" cy="175260"/>
                      <wp:effectExtent l="0" t="0" r="0" b="0"/>
                      <wp:wrapNone/>
                      <wp:docPr id="157" name="Frame15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62660" cy="175260"/>
                      <wp:effectExtent l="0" t="0" r="0" b="0"/>
                      <wp:wrapNone/>
                      <wp:docPr id="159" name="Frame158"/>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109" w:type="dxa"/>
            <w:tcBorders/>
            <w:vAlign w:val="center"/>
          </w:tcPr>
          <w:p>
            <w:pPr>
              <w:pStyle w:val="TableContents"/>
              <w:bidi w:val="0"/>
              <w:spacing w:before="0" w:after="1"/>
              <w:ind w:left="0" w:right="0" w:hanging="0"/>
              <w:jc w:val="left"/>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Term</w:t>
            </w:r>
          </w:p>
        </w:tc>
      </w:tr>
      <w:tr>
        <w:trPr/>
        <w:tc>
          <w:tcPr>
            <w:tcW w:w="3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1"/>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5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90,397,534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(4,647,534)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5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 June 30, 2026</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85,750,000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109" w:type="dxa"/>
            <w:tcBorders/>
            <w:vAlign w:val="center"/>
          </w:tcPr>
          <w:p>
            <w:pPr>
              <w:pStyle w:val="TableContents"/>
              <w:bidi w:val="0"/>
              <w:spacing w:before="0" w:after="1"/>
              <w:ind w:left="0" w:right="0" w:hanging="0"/>
              <w:jc w:val="left"/>
              <w:rPr/>
            </w:pPr>
            <w:r>
              <w:rPr/>
              <w:t>​</w:t>
            </w:r>
          </w:p>
        </w:tc>
        <w:tc>
          <w:tcPr>
            <w:tcW w:w="15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2017 Omnibus Incentive Plan (Omnibus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Omnibus Plan provides for an annual increase on January 1 of each year, commencing in 2019 and ending on and including January 1, 2027, up to an amount equal to the lowest of (i) 4% of the total number of shares of common stock outstanding on a fully diluted basis as of December 31 of the immediately preceding calendar year, and (ii) such number of shares of common stock, if any, determined by the Company’s board of directors. Accordingly, on January 1, 2026, the number of shares of Common Stock reserved and available for issuance under the Omnibus Plan increased by 4,969,458 shares of 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stock option awards generally vest over four years and typically have a contractual life of ten years. As of June 30, 2026, there was $18.5 million of unrecognized compensation cost related to stock options, which is expected to be recognized over a weighted-average period of 2.9 years. During the six months ended June 30, 2026,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48" w:name="Tc_jURiN8SQKkujKNythFRlig_6_11"/>
      <w:bookmarkStart w:id="949" w:name="Tc_i1H3CCJH4EKxZTCstZ0VSA_6_8"/>
      <w:bookmarkStart w:id="950" w:name="Tc_tXNJQc5mtUGM5xdCyUgUXQ_6_5"/>
      <w:bookmarkStart w:id="951" w:name="Tc_N_OFokP2O0qvIF5CigyiKg_6_2"/>
      <w:bookmarkStart w:id="952" w:name="Tc_XbL-gNAIn0WhmQ_9E9Jviw_6_0"/>
      <w:bookmarkStart w:id="953" w:name="Tc_I9J5VIetKkyASX7bow8YqQ_5_0"/>
      <w:bookmarkStart w:id="954" w:name="Tc_vC9wv6L-kUea_-Y2US5KHQ_4_11"/>
      <w:bookmarkStart w:id="955" w:name="Tc_jd1DLsfbd02m5UZFLtgQQQ_4_8"/>
      <w:bookmarkStart w:id="956" w:name="Tc_8zFXV3WM-kmj1sLamTZHVA_4_5"/>
      <w:bookmarkStart w:id="957" w:name="Tc_ILb1AKogCkmML1PdnV33Zw_4_2"/>
      <w:bookmarkStart w:id="958" w:name="Tc_xmv5PfvxP0SS-G4mI2zoLA_4_0"/>
      <w:bookmarkStart w:id="959" w:name="Tc_LNdcrKqwMEapYsL4bxqViQ_3_11"/>
      <w:bookmarkStart w:id="960" w:name="Tc_xUTitksYvki5gCOlneHyVw_3_8"/>
      <w:bookmarkStart w:id="961" w:name="Tc_xmU45hZGr0OrQTFQv8Fblw_3_5"/>
      <w:bookmarkStart w:id="962" w:name="Tc_x37KkE7m5EKdmpMiuMPerg_3_2"/>
      <w:bookmarkStart w:id="963" w:name="Tc_UhEIc74_mUKhBJd4o_21yg_2_8"/>
      <w:bookmarkStart w:id="964" w:name="Tc_YoS0YX-QzkSqx3cfh1Lmbg_2_2"/>
      <w:bookmarkStart w:id="965" w:name="Tc_c7ADqQZKhUC-bHLsVloYVA_1_8"/>
      <w:bookmarkStart w:id="966" w:name="Tc_2HkOEO1d0UKbWBxh551XjA_1_2"/>
      <w:bookmarkStart w:id="967" w:name="_d63445bc_0fd7_4355_aed9_ae92893c93ec"/>
      <w:bookmarkStart w:id="968" w:name="Tc_OdxUY73uIEuvfOPvlwb8IA_11_9"/>
      <w:bookmarkStart w:id="969" w:name="Tc_ZWDWCDjKiE2yT5CpzFaxWA_11_4"/>
      <w:bookmarkStart w:id="970" w:name="Tc_ZrHA1IszUEaaSBidIL0EnA_11_0"/>
      <w:bookmarkStart w:id="971" w:name="Tc_1kYOUcqcOUef_LSpZBfqbA_10_9"/>
      <w:bookmarkStart w:id="972" w:name="Tc_CPUSHv4gZkmPNR9gkF8zrQ_10_4"/>
      <w:bookmarkStart w:id="973" w:name="Tc_pZfskbyR-EKoQ0vuEu0PAw_10_0"/>
      <w:bookmarkStart w:id="974" w:name="Tc_MXsPcLpPAUCO4Sf6OqWzfQ_9_9"/>
      <w:bookmarkStart w:id="975" w:name="Tc_c5e7usTLyEihZ0wzL-yxgw_9_4"/>
      <w:bookmarkStart w:id="976" w:name="Tc_c9DKBsp09kqr9ZxUfeDfqA_9_0"/>
      <w:bookmarkStart w:id="977" w:name="Tc_u9LXmEL4_0Gv1KTrxm0hIQ_8_4"/>
      <w:bookmarkStart w:id="978" w:name="Tc_fHpPhVvojUGvO5cN3NSwRw_8_0"/>
      <w:bookmarkStart w:id="979" w:name="Tc_mj-wmM1rZUa-MKRGENYfIQ_7_4"/>
      <w:bookmarkStart w:id="980" w:name="Tc_gMwax2vXdEOhVHUXZpqNkw_7_0"/>
      <w:bookmarkStart w:id="981" w:name="Tc_AmSBv2L8REyOKY7Ow8dYaA_6_4"/>
      <w:bookmarkStart w:id="982" w:name="Tc_o50RtFCkPUegvcKMZCpOVg_6_0"/>
      <w:bookmarkStart w:id="983" w:name="Tc_hYAa7qlbhkGsp-bmFvgFWw_5_9"/>
      <w:bookmarkStart w:id="984" w:name="Tc_ITzdiaxY5EuYdsxoKf_fUw_5_4"/>
      <w:bookmarkStart w:id="985" w:name="Tc_7qqwxIJnaUqnXPVt4GkVTA_5_0"/>
      <w:bookmarkStart w:id="986" w:name="Tc_wsAryh-F_kOCnoPR8hrLJg_4_9"/>
      <w:bookmarkStart w:id="987" w:name="Tc_iJphdb9rg02swS9Kq7_aCg_4_7"/>
      <w:bookmarkStart w:id="988" w:name="Tc_BSNNPSTvoEK2EM6mKSYpiQ_4_4"/>
      <w:bookmarkStart w:id="989" w:name="Tc_SiOki78MXUikMADrO_gX3w_4_2"/>
      <w:bookmarkStart w:id="990" w:name="Tc_nYm8xnPt3kuim6Q83BAUig_3_9"/>
      <w:bookmarkStart w:id="991" w:name="Tc_VfE3ZFAlcUO5AADS5X4_Jg_3_7"/>
      <w:bookmarkStart w:id="992" w:name="Tc_11BUHg_MpkSnoxLkVgoRxw_3_4"/>
      <w:bookmarkStart w:id="993" w:name="Tc_84wIHsu0VE-bpSKDTnKtOg_3_2"/>
      <w:bookmarkStart w:id="994" w:name="Tc_V9usrwA_pU2eGFaHAC5sGA_2_7"/>
      <w:bookmarkStart w:id="995" w:name="Tc_n0fAqlG7EkSAXNfbj1qFFA_2_4"/>
      <w:bookmarkStart w:id="996" w:name="Tc_ZMp-mU-9CkO1iazO1Ef20w_1_7"/>
      <w:bookmarkStart w:id="997" w:name="_59b096a1_3afc_471a_9a13_efd90d0f0343"/>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r>
        <w:rPr>
          <w:rFonts w:ascii="Times New Roman;Times;serif" w:hAnsi="Times New Roman;Times;serif"/>
          <w:sz w:val="20"/>
        </w:rPr>
        <w:t>Company granted 2,215,309 stock options with a weighted average exercise price of $4.09 and per share weighted average grant date fair value of $3.36.</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Information related to stock options outstanding as of June 30, 2026, is as follows (in thousands, except share, exercise price, and contractual term):</w:t>
      </w:r>
    </w:p>
    <w:tbl>
      <w:tblPr>
        <w:tblW w:w="10205" w:type="dxa"/>
        <w:jc w:val="left"/>
        <w:tblInd w:w="0" w:type="dxa"/>
        <w:tblLayout w:type="fixed"/>
        <w:tblCellMar>
          <w:top w:w="0" w:type="dxa"/>
          <w:left w:w="0" w:type="dxa"/>
          <w:bottom w:w="0" w:type="dxa"/>
          <w:right w:w="0" w:type="dxa"/>
        </w:tblCellMar>
      </w:tblPr>
      <w:tblGrid>
        <w:gridCol w:w="3562"/>
        <w:gridCol w:w="346"/>
        <w:gridCol w:w="1124"/>
        <w:gridCol w:w="346"/>
        <w:gridCol w:w="347"/>
        <w:gridCol w:w="770"/>
        <w:gridCol w:w="346"/>
        <w:gridCol w:w="1471"/>
        <w:gridCol w:w="346"/>
        <w:gridCol w:w="441"/>
        <w:gridCol w:w="1106"/>
      </w:tblGrid>
      <w:tr>
        <w:trPr/>
        <w:tc>
          <w:tcPr>
            <w:tcW w:w="3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61870" cy="175260"/>
                      <wp:effectExtent l="0" t="0" r="0" b="0"/>
                      <wp:wrapNone/>
                      <wp:docPr id="160" name="Frame159"/>
                      <a:graphic xmlns:a="http://schemas.openxmlformats.org/drawingml/2006/main">
                        <a:graphicData uri="http://schemas.microsoft.com/office/word/2010/wordprocessingShape">
                          <wps:wsp>
                            <wps:cNvSpPr txBox="1"/>
                            <wps:spPr>
                              <a:xfrm>
                                <a:off x="0" y="0"/>
                                <a:ext cx="2261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13740" cy="175260"/>
                      <wp:effectExtent l="0" t="0" r="0" b="0"/>
                      <wp:wrapNone/>
                      <wp:docPr id="162" name="Frame161"/>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20345" cy="175260"/>
                      <wp:effectExtent l="0" t="0" r="0" b="0"/>
                      <wp:wrapNone/>
                      <wp:docPr id="164" name="Frame16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88950" cy="175260"/>
                      <wp:effectExtent l="0" t="0" r="0" b="0"/>
                      <wp:wrapNone/>
                      <wp:docPr id="165" name="Frame164"/>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34085" cy="175260"/>
                      <wp:effectExtent l="0" t="0" r="0" b="0"/>
                      <wp:wrapNone/>
                      <wp:docPr id="167" name="Frame16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80035" cy="175260"/>
                      <wp:effectExtent l="0" t="0" r="0" b="0"/>
                      <wp:wrapNone/>
                      <wp:docPr id="169" name="Frame168"/>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02310" cy="175260"/>
                      <wp:effectExtent l="0" t="0" r="0" b="0"/>
                      <wp:wrapNone/>
                      <wp:docPr id="170" name="Frame169"/>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47" w:type="dxa"/>
            <w:tcBorders/>
            <w:vAlign w:val="center"/>
          </w:tcPr>
          <w:p>
            <w:pPr>
              <w:pStyle w:val="TableContents"/>
              <w:bidi w:val="0"/>
              <w:spacing w:before="0" w:after="1"/>
              <w:ind w:left="0" w:right="0" w:hanging="0"/>
              <w:jc w:val="center"/>
              <w:rPr/>
            </w:pPr>
            <w:r>
              <w:rPr/>
              <w:t>​</w:t>
            </w:r>
          </w:p>
        </w:tc>
        <w:tc>
          <w:tcPr>
            <w:tcW w:w="7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4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1"/>
              <w:ind w:left="0" w:right="0" w:hanging="0"/>
              <w:jc w:val="left"/>
              <w:rPr/>
            </w:pPr>
            <w:r>
              <w:rPr/>
              <w:t>  ​ ​ ​</w:t>
            </w:r>
          </w:p>
        </w:tc>
        <w:tc>
          <w:tcPr>
            <w:tcW w:w="441" w:type="dxa"/>
            <w:tcBorders/>
            <w:vAlign w:val="center"/>
          </w:tcPr>
          <w:p>
            <w:pPr>
              <w:pStyle w:val="TableContents"/>
              <w:bidi w:val="0"/>
              <w:spacing w:before="0" w:after="1"/>
              <w:ind w:left="0" w:right="0" w:hanging="0"/>
              <w:jc w:val="center"/>
              <w:rPr/>
            </w:pPr>
            <w:r>
              <w:rPr/>
              <w:t>​</w:t>
            </w:r>
          </w:p>
        </w:tc>
        <w:tc>
          <w:tcPr>
            <w:tcW w:w="1106" w:type="dxa"/>
            <w:tcBorders/>
            <w:vAlign w:val="center"/>
          </w:tcPr>
          <w:p>
            <w:pPr>
              <w:pStyle w:val="TableContents"/>
              <w:bidi w:val="0"/>
              <w:spacing w:before="0" w:after="1"/>
              <w:ind w:left="0" w:right="0" w:hanging="0"/>
              <w:jc w:val="center"/>
              <w:rPr/>
            </w:pPr>
            <w:r>
              <w:rPr/>
              <w:t>​</w:t>
            </w:r>
          </w:p>
        </w:tc>
      </w:tr>
      <w:tr>
        <w:trPr/>
        <w:tc>
          <w:tcPr>
            <w:tcW w:w="35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center"/>
              <w:rPr/>
            </w:pPr>
            <w:r>
              <w:rPr/>
              <w:t>​</w:t>
            </w:r>
          </w:p>
        </w:tc>
        <w:tc>
          <w:tcPr>
            <w:tcW w:w="1106" w:type="dxa"/>
            <w:tcBorders/>
            <w:vAlign w:val="center"/>
          </w:tcPr>
          <w:p>
            <w:pPr>
              <w:pStyle w:val="TableContents"/>
              <w:bidi w:val="0"/>
              <w:spacing w:before="0" w:after="1"/>
              <w:ind w:left="0" w:right="0" w:hanging="0"/>
              <w:jc w:val="center"/>
              <w:rPr/>
            </w:pPr>
            <w:r>
              <w:rPr/>
              <w:t>​</w:t>
            </w:r>
          </w:p>
        </w:tc>
      </w:tr>
      <w:tr>
        <w:trPr/>
        <w:tc>
          <w:tcPr>
            <w:tcW w:w="35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1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Term</w:t>
            </w:r>
          </w:p>
        </w:tc>
        <w:tc>
          <w:tcPr>
            <w:tcW w:w="346" w:type="dxa"/>
            <w:tcBorders/>
            <w:vAlign w:val="center"/>
          </w:tcPr>
          <w:p>
            <w:pPr>
              <w:pStyle w:val="TableContents"/>
              <w:bidi w:val="0"/>
              <w:spacing w:before="0" w:after="1"/>
              <w:ind w:left="0" w:right="0" w:hanging="0"/>
              <w:jc w:val="left"/>
              <w:rPr/>
            </w:pPr>
            <w:r>
              <w:rPr/>
              <w:t>​</w:t>
            </w:r>
          </w:p>
        </w:tc>
        <w:tc>
          <w:tcPr>
            <w:tcW w:w="15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Intrinsic</w:t>
            </w:r>
          </w:p>
        </w:tc>
      </w:tr>
      <w:tr>
        <w:trPr/>
        <w:tc>
          <w:tcPr>
            <w:tcW w:w="35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Options</w:t>
            </w:r>
          </w:p>
        </w:tc>
        <w:tc>
          <w:tcPr>
            <w:tcW w:w="346" w:type="dxa"/>
            <w:tcBorders/>
            <w:vAlign w:val="center"/>
          </w:tcPr>
          <w:p>
            <w:pPr>
              <w:pStyle w:val="TableContents"/>
              <w:bidi w:val="0"/>
              <w:spacing w:before="0" w:after="1"/>
              <w:ind w:left="0" w:right="0" w:hanging="0"/>
              <w:jc w:val="left"/>
              <w:rPr/>
            </w:pPr>
            <w:r>
              <w:rPr/>
              <w:t>​</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35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11,289,920</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r>
      <w:tr>
        <w:trPr/>
        <w:tc>
          <w:tcPr>
            <w:tcW w:w="35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1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2,215,309</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  ​</w:t>
            </w:r>
          </w:p>
        </w:tc>
      </w:tr>
      <w:tr>
        <w:trPr/>
        <w:tc>
          <w:tcPr>
            <w:tcW w:w="35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(7,458)</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pPr>
            <w:r>
              <w:rPr/>
              <w:t>  ​</w:t>
            </w:r>
          </w:p>
        </w:tc>
      </w:tr>
      <w:tr>
        <w:trPr/>
        <w:tc>
          <w:tcPr>
            <w:tcW w:w="35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346" w:type="dxa"/>
            <w:tcBorders/>
            <w:vAlign w:val="center"/>
          </w:tcPr>
          <w:p>
            <w:pPr>
              <w:pStyle w:val="TableContents"/>
              <w:bidi w:val="0"/>
              <w:spacing w:before="0" w:after="1"/>
              <w:ind w:left="0" w:right="0" w:hanging="0"/>
              <w:jc w:val="left"/>
              <w:rPr/>
            </w:pPr>
            <w:r>
              <w:rPr/>
              <w:t> </w:t>
            </w:r>
          </w:p>
        </w:tc>
        <w:tc>
          <w:tcPr>
            <w:tcW w:w="11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(1,456,559)</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  ​</w:t>
            </w:r>
          </w:p>
        </w:tc>
      </w:tr>
      <w:tr>
        <w:trPr/>
        <w:tc>
          <w:tcPr>
            <w:tcW w:w="35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1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12,041,212</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35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June 30, 2026</w:t>
            </w:r>
          </w:p>
        </w:tc>
        <w:tc>
          <w:tcPr>
            <w:tcW w:w="346" w:type="dxa"/>
            <w:tcBorders/>
            <w:vAlign w:val="center"/>
          </w:tcPr>
          <w:p>
            <w:pPr>
              <w:pStyle w:val="TableContents"/>
              <w:bidi w:val="0"/>
              <w:spacing w:before="0" w:after="1"/>
              <w:ind w:left="0" w:right="0" w:hanging="0"/>
              <w:jc w:val="left"/>
              <w:rPr/>
            </w:pPr>
            <w:r>
              <w:rPr/>
              <w:t> </w:t>
            </w:r>
          </w:p>
        </w:tc>
        <w:tc>
          <w:tcPr>
            <w:tcW w:w="11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5,862,145</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35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1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11,288,964</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(RSUs)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the Company granted 765,623 shares of RSUs with a weighted average grant date fair value of $4.35 which vest over four years. As of June 30, 2026, the Company had unvested RSUs of 1,978,950 shares with total unrecognized compensation expense of $7.1 million, which the Company expects to recognize over a weighted average period of approximately 3.4 years. During the six months ended June 30, 2026, the Company issued 209,537 shares of common stock as a result of the vesting of 337,325 RSUs, net of 124,038 shares of common stock withheld to satisfy tax withholding obligations.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2019 Employee Stock Purchase Plan (“ESPP”)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16, 2026, pursuant to the approval by shareholders at the 2026 AMS, the Company amended its ESPP to increase the number of shares of common stock reserved under the ESPP from 403,500 to 1,108,827.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ESPP, employees purchased 57,801 shares of the Company’s common stock for $0.2 million during the six months ended June 30,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the Company recorded $0.3 million in incremental stock-based compensation expense as a result of the modifications of stock awards upon termination of a former executive officer. The modification extended the option exercise period of a former executive officer’s fully vested stock options by a period of twelve months from the termination date.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Stock-based compensation expense is classified in the unaudited consolidated statements of operations and comprehensive loss for the three and six months ended June 30, 2026 and 2025 as follows (in thousands):</w:t>
      </w:r>
    </w:p>
    <w:tbl>
      <w:tblPr>
        <w:tblW w:w="6928" w:type="dxa"/>
        <w:jc w:val="left"/>
        <w:tblInd w:w="0" w:type="dxa"/>
        <w:tblLayout w:type="fixed"/>
        <w:tblCellMar>
          <w:top w:w="0" w:type="dxa"/>
          <w:left w:w="0" w:type="dxa"/>
          <w:bottom w:w="0" w:type="dxa"/>
          <w:right w:w="0" w:type="dxa"/>
        </w:tblCellMar>
      </w:tblPr>
      <w:tblGrid>
        <w:gridCol w:w="2311"/>
        <w:gridCol w:w="346"/>
        <w:gridCol w:w="211"/>
        <w:gridCol w:w="571"/>
        <w:gridCol w:w="346"/>
        <w:gridCol w:w="211"/>
        <w:gridCol w:w="571"/>
        <w:gridCol w:w="346"/>
        <w:gridCol w:w="211"/>
        <w:gridCol w:w="571"/>
        <w:gridCol w:w="346"/>
        <w:gridCol w:w="211"/>
        <w:gridCol w:w="6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67485" cy="175260"/>
                      <wp:effectExtent l="0" t="0" r="0" b="0"/>
                      <wp:wrapNone/>
                      <wp:docPr id="171" name="Frame17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62585" cy="175260"/>
                      <wp:effectExtent l="0" t="0" r="0" b="0"/>
                      <wp:wrapNone/>
                      <wp:docPr id="174"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2585" cy="175260"/>
                      <wp:effectExtent l="0" t="0" r="0" b="0"/>
                      <wp:wrapNone/>
                      <wp:docPr id="180" name="Frame1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  ​ ​ ​</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7,581</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98" w:name="Tc_iT_c5b3XeEKMttEzoE5z4Q_6_0"/>
      <w:bookmarkStart w:id="999" w:name="Tc__UNT4j1KIkG0eavDaTN0tg_5_0"/>
      <w:bookmarkStart w:id="1000" w:name="Tc_txRrcySgpUSf1x1fNProUw_4_4_2"/>
      <w:bookmarkStart w:id="1001" w:name="Tc_txRrcySgpUSf1x1fNProUw_4_4"/>
      <w:bookmarkStart w:id="1002" w:name="Tc_ffUKW9315Uqk-rcFMgOKpw_4_0"/>
      <w:bookmarkStart w:id="1003" w:name="Tc_0Djn3l7plUK9hhvV_SAENw_3_4"/>
      <w:bookmarkStart w:id="1004" w:name="Tc_B84HAGYQvUOx7bbpA0KrVg_3_2"/>
      <w:bookmarkStart w:id="1005" w:name="Tc_Y4jSHivZe0CppmCFjKYO6g_2_2"/>
      <w:bookmarkStart w:id="1006" w:name="Tc_JpM-0VDN-02sPdFCsWH27A_1_2"/>
      <w:bookmarkEnd w:id="998"/>
      <w:bookmarkEnd w:id="999"/>
      <w:bookmarkEnd w:id="1000"/>
      <w:bookmarkEnd w:id="1001"/>
      <w:bookmarkEnd w:id="1002"/>
      <w:bookmarkEnd w:id="1003"/>
      <w:bookmarkEnd w:id="1004"/>
      <w:bookmarkEnd w:id="1005"/>
      <w:bookmarkEnd w:id="1006"/>
      <w:r>
        <w:rPr>
          <w:rFonts w:ascii="Times New Roman;Times;serif" w:hAnsi="Times New Roman;Times;serif"/>
          <w:b/>
          <w:sz w:val="20"/>
        </w:rPr>
        <w:t>9. Net Loss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the Company has reported net loss attributable to common stockholders for the three and six months ended June 30, 2026 and 2025, basic and diluted net loss per share attributable to common stockholders in each period are the same.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Basic net loss per share attributable to common stockholders is computed by dividing the net loss attributable to common stockholders by the weighted average numbers of shares of common stock and pre-funded warrants outstanding for the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Diluted net loss per share is calculated by adjusting weighted average shares outstanding for the dilutive effect of common stock equivalents outstanding for the period. As such, all unvested RSUs, stock options and common stock warrants have been excluded from the computation of diluted weighted average shares outstanding because such securities would have an anti-dilutive impact for all periods presented.</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Potential common shares, issuable upon conversion, vesting, or exercise of unvested RSUs, stock options and common stock warrants, that are excluded from the computation of diluted weighted-average shares outstanding, as they are anti-dilutive, are as follows:</w:t>
      </w:r>
    </w:p>
    <w:p>
      <w:pPr>
        <w:pStyle w:val="TextBody"/>
        <w:bidi w:val="0"/>
        <w:spacing w:before="0" w:after="0"/>
        <w:ind w:left="0" w:right="0" w:hanging="0"/>
        <w:jc w:val="left"/>
        <w:rPr/>
      </w:pPr>
      <w:r>
        <w:rPr/>
        <w:t>​</w:t>
      </w:r>
    </w:p>
    <w:tbl>
      <w:tblPr>
        <w:tblW w:w="4497" w:type="dxa"/>
        <w:jc w:val="left"/>
        <w:tblInd w:w="0" w:type="dxa"/>
        <w:tblLayout w:type="fixed"/>
        <w:tblCellMar>
          <w:top w:w="0" w:type="dxa"/>
          <w:left w:w="0" w:type="dxa"/>
          <w:bottom w:w="0" w:type="dxa"/>
          <w:right w:w="0" w:type="dxa"/>
        </w:tblCellMar>
      </w:tblPr>
      <w:tblGrid>
        <w:gridCol w:w="2071"/>
        <w:gridCol w:w="146"/>
        <w:gridCol w:w="1065"/>
        <w:gridCol w:w="150"/>
        <w:gridCol w:w="1065"/>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15085" cy="175260"/>
                      <wp:effectExtent l="0" t="0" r="0" b="0"/>
                      <wp:wrapNone/>
                      <wp:docPr id="184" name="Frame18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2710" cy="175260"/>
                      <wp:effectExtent l="0" t="0" r="0" b="0"/>
                      <wp:wrapNone/>
                      <wp:docPr id="185" name="Frame18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76275" cy="175260"/>
                      <wp:effectExtent l="0" t="0" r="0" b="0"/>
                      <wp:wrapNone/>
                      <wp:docPr id="186" name="Frame185"/>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5250" cy="175260"/>
                      <wp:effectExtent l="0" t="0" r="0" b="0"/>
                      <wp:wrapNone/>
                      <wp:docPr id="187" name="Frame186"/>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76275" cy="175260"/>
                      <wp:effectExtent l="0" t="0" r="0" b="0"/>
                      <wp:wrapNone/>
                      <wp:docPr id="188" name="Frame187"/>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8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and Six Months Ended </w:t>
            </w:r>
          </w:p>
        </w:tc>
      </w:tr>
      <w:tr>
        <w:trPr/>
        <w:tc>
          <w:tcPr>
            <w:tcW w:w="20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0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0" w:type="dxa"/>
            <w:tcBorders/>
            <w:vAlign w:val="center"/>
          </w:tcPr>
          <w:p>
            <w:pPr>
              <w:pStyle w:val="TableContents"/>
              <w:bidi w:val="0"/>
              <w:spacing w:before="0" w:after="1"/>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146" w:type="dxa"/>
            <w:tcBorders/>
            <w:shd w:fill="CCEEFF" w:val="clear"/>
            <w:vAlign w:val="center"/>
          </w:tcPr>
          <w:p>
            <w:pPr>
              <w:pStyle w:val="TableContents"/>
              <w:bidi w:val="0"/>
              <w:spacing w:before="0" w:after="1"/>
              <w:ind w:left="0" w:right="0" w:hanging="0"/>
              <w:jc w:val="left"/>
              <w:rPr/>
            </w:pPr>
            <w:r>
              <w:rPr/>
              <w:t> </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75,000,000</w:t>
            </w:r>
          </w:p>
        </w:tc>
        <w:tc>
          <w:tcPr>
            <w:tcW w:w="150" w:type="dxa"/>
            <w:tcBorders/>
            <w:shd w:fill="CCEEFF" w:val="clear"/>
            <w:vAlign w:val="center"/>
          </w:tcPr>
          <w:p>
            <w:pPr>
              <w:pStyle w:val="TableContents"/>
              <w:bidi w:val="0"/>
              <w:spacing w:before="0" w:after="1"/>
              <w:ind w:left="0" w:right="0" w:hanging="0"/>
              <w:jc w:val="left"/>
              <w:rPr/>
            </w:pPr>
            <w:r>
              <w:rPr/>
              <w:t> </w:t>
            </w:r>
          </w:p>
        </w:tc>
        <w:tc>
          <w:tcPr>
            <w:tcW w:w="1065" w:type="dxa"/>
            <w:tcBorders/>
            <w:shd w:fill="CCEEFF" w:val="clear"/>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46" w:type="dxa"/>
            <w:tcBorders/>
            <w:vAlign w:val="center"/>
          </w:tcPr>
          <w:p>
            <w:pPr>
              <w:pStyle w:val="TableContents"/>
              <w:bidi w:val="0"/>
              <w:spacing w:before="0" w:after="1"/>
              <w:ind w:left="0" w:right="0" w:hanging="0"/>
              <w:jc w:val="left"/>
              <w:rPr/>
            </w:pPr>
            <w:r>
              <w:rPr/>
              <w:t> </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12,068,733</w:t>
            </w:r>
          </w:p>
        </w:tc>
        <w:tc>
          <w:tcPr>
            <w:tcW w:w="150" w:type="dxa"/>
            <w:tcBorders/>
            <w:vAlign w:val="center"/>
          </w:tcPr>
          <w:p>
            <w:pPr>
              <w:pStyle w:val="TableContents"/>
              <w:bidi w:val="0"/>
              <w:spacing w:before="0" w:after="1"/>
              <w:ind w:left="0" w:right="0" w:hanging="0"/>
              <w:jc w:val="left"/>
              <w:rPr/>
            </w:pPr>
            <w:r>
              <w:rPr/>
              <w:t> </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8,128,505</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46" w:type="dxa"/>
            <w:tcBorders/>
            <w:shd w:fill="CCEEFF" w:val="clear"/>
            <w:vAlign w:val="center"/>
          </w:tcPr>
          <w:p>
            <w:pPr>
              <w:pStyle w:val="TableContents"/>
              <w:bidi w:val="0"/>
              <w:spacing w:before="0" w:after="1"/>
              <w:ind w:left="0" w:right="0" w:hanging="0"/>
              <w:jc w:val="left"/>
              <w:rPr/>
            </w:pPr>
            <w:r>
              <w:rPr/>
              <w:t> </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1,978,950</w:t>
            </w:r>
          </w:p>
        </w:tc>
        <w:tc>
          <w:tcPr>
            <w:tcW w:w="150" w:type="dxa"/>
            <w:tcBorders/>
            <w:shd w:fill="CCEEFF" w:val="clear"/>
            <w:vAlign w:val="center"/>
          </w:tcPr>
          <w:p>
            <w:pPr>
              <w:pStyle w:val="TableContents"/>
              <w:bidi w:val="0"/>
              <w:spacing w:before="0" w:after="1"/>
              <w:ind w:left="0" w:right="0" w:hanging="0"/>
              <w:jc w:val="left"/>
              <w:rPr/>
            </w:pPr>
            <w:r>
              <w:rPr/>
              <w:t>​</w:t>
            </w:r>
          </w:p>
        </w:tc>
        <w:tc>
          <w:tcPr>
            <w:tcW w:w="106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1,039,950</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Spitfire Acquisition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2019, the Company entered into the Spitfire merger agreement to acquire all of the equity interests of Spitfire Pharma, Inc. (“Spitfire”). Spitfire was a privately held, preclinical pharmaceutical company developing novel peptide products for pharmaceutical indications, including pemvidutide for the treatment of MASH. As part of the agreement, the Company is obligated to make payments of up to $80.0 million upon the achievement of specified worldwide net sales of all products developed using the technology acquired from Spitfire Pharma, Inc. (the “Sales Milestone”) within ten years following the approval of a new drug application filed with the U.S. Food and Drug Administration (the “FDA”).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contingent payments related to the Sales Milestones are predominately cash-based payments accounted for under FASB Accounting Standards Codification Topic 450, Contingencies. Accordingly, the Company will recognize the Sales Milestones when the contingency is probable and the amount can be reasonably estimated.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15, 2026, the Company entered into a lease agreement for office space in Morristown, New Jersey, which will serve as the Company’s new headquarters upon facility occupancy and lease commencement. The Company will make monthly rental payments aggregating approximately $0.3 million annually for the 5-year lease term. The lease is expected to commence on October 1, 2026 (“Lease Commencement Date”). The Company determined that the lease is an operating lease under ASC 842. On the Lease Commencement Date, the Company will record ROU asset and lease liability of approximately $1.2 million on its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from time to time may be a party to various contracts and subject to disputes, litigation, and potential claims arising in the ordinary course of business, none of which are currently reasonably possible or probable of material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Segment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a late clinical-stage biopharmaceutical company developing novel therapies for serious liver diseases. The Company’s lead product candidate is pemvidutide, a balanced 1:1 glucagon/GLP-1 dual receptor agonist in development for the treatment of MASH, AUD and ALD. To date, the Company has not generated any revenue from the sale of any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chief operating decision maker assesses the performance of the Company and decides how to allocate resources based solely on net (loss) income, which is also reported on the consolidated statements of operations and comprehensive loss as net (loss) income. The measure of segment assets is reported on the consolidated balance sheet as total assets.</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7" w:name="Item2ManagementsDiscussionandAnalysisofF"/>
      <w:bookmarkStart w:id="1008" w:name="_76e4d356_04f3_44f6_bbdd_e0f88e91eb7c"/>
      <w:bookmarkEnd w:id="1007"/>
      <w:bookmarkEnd w:id="100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together with our consolidated financial statements and related notes appearing elsewhere in this Quarterly Report on Form 10-Q and our consolidated financial statements and related notes for the year ended December 31, 2025 included in our Annual Report on Form 10-K, which was filed with the SEC on March 6, 2026.</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substantial risks and uncertainties. The words “expect,” “anticipate,” “intend,” “plan,” “believe,” “estimate,” “may,” “will,” “should,” “could,” “target,” “strategy,” “project,” “guidance,” “likely,” “usually,” “potential,” or the negative of these words or variations of such words, similar expressions, or comparable terminology are intended to identify such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These forward-looking statements are based on current expectations, estimates, forecasts and projections about the industry and markets in which we operate, and management’s beliefs and assumptions. These statements are not guarantees of future performance and involve certain risks, uncertainties and assumptions that are difficult to predict and may cause our actual results, performance or achievements to be materially different from future results, performance or achievements expressed or implied by any forward-looking statements. A further list and description of risks, uncertainties and other factors that could cause actual results or events to differ materially from the forward-looking statements that we make is included in the cautionary statements herein and in our other filings with the SEC, including those set forth under Part I, Item 1A, Risk Factors in our Annual Report on Form 10-K for the year ended December 31, 2025. Our forward-looking statements do not reflect the potential impact of any future acquisitions, mergers, dispositions, joint ventures or investments that we may make.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We have based the forward-looking statements included in this Quarterly Report on Form 10-Q on information available to us on the date of this quarterly report, and we assume no obligation to update any such forward-looking statements, other than as required by law.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Altimmune, Inc. is a late clinical-stage biopharmaceutical company developing novel therapies for serious liver diseases. Our lead product candidate, pemvidutide (formerly known as ALT-801), is a balanced 1:1 glucagon/GLP-1 dual receptor agonist in development for the treatment of MASH, AUD and ALD. We may also pursue additional indications for pemvidutide that leverage its differentiated clinical profile. Except where the context indicates otherwise, references to “we,” “us,” “our,” “Altimmune”, or the “Company” refer to the company and its subsidiaries.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Business Update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Underwritten Public Offering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24, 2026, we completed an underwritten public offering pursuant to which we raised approximately $211.1 million in net proceeds from the issuance of a combination of common stock, common stock warrants and pre-funded warrants. The common stock and pre-funded warrants were sold in combination with an accompanying common stock warrant to purchase one share of common stock (or pre-funded warrant in lieu thereof) issued for each share of common stock or pre-funded warrant sold. The gross proceeds could increase by another $225 million if all the warrant holders exercise their common stock warrants. See Note 7. Stockholders’ Equity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Headquarters Relocation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16, 2026, we announced plans to relocate our corporate headquarters from Gaithersburg, Maryland to Morristown, New Jersey later this year. The new headquarters is in a region with a strong presence of biopharmaceutical companies, which is expected to support our ability to attract top-tier talent in our hybrid business model, as we continue our growth as a late-stage development company. Accordingly, we have entered into a lease agreement for office space in Morristown, New Jersey, which will serve as our new headquarters upon facility occupancy and lease commencement. We will make monthly rental payments aggregating approximately $0.3 million annually for the 5-year lease term. The relocation of our headquarters is expected to help us achieve cost efficiencies over the long 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Ongoing Clinical Trials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MASH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2026, we announced that the U.S. Food and Drug Administration (“FDA”) granted Breakthrough Therapy Designation to pemvidutide for the treatment of MASH based on the data from the IMPACT Phase 2b trial at 24 weeks in which we observed statistically significant MASH resolution and positive trends in fibrosis improvement. In December 2025, the Company announced positive 48-week data from the IMPACT trial, including statistically significant improvements observed in key non-invasive markers of fibrosis and inflammation, such as Enhanced Liver Fibrosis (“ELF”) and Liver Stiffness Measurement (“LSM”), which are strongly associated with MASH histologic changes, and noted continued reductions from 24-week timepoint. Additional weight loss was observed from 24 weeks to 48 weeks at the 1.8 mg dose with no evidence of plateauing. We also observed greater adherence to treatment in the pemvidutide arms, as shown by lower discontinuation rates than the placebo group which may be attributable to the favorable safety and tolerability profile of pemvidutide. With the positive 48-week data from the IMPACT trial, FDA designation and having secured the necessary financing, we began preparing for our PERFORMA Phase 3 trial in MASH. We have aligned with the FDA following an End of Phase 2 Meeting, and submitted the final study protocol to the FDA. Further, we received scientific advice from the European Medicines Agency and Medicines and Healthcare products Regulatory Agency (UK) and selected a global Contract Research Organization with deep experience running global MASH pivotal trials. The global pivotal PERFORMA Phase 3 trial will test two doses of pemvidutide over an estimated duration of approximately 60 months for liver-related events supporting final approval, including an interim analysis after 52 weeks with biopsy-based endpoints to support an accelerated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3, 2026, we announced that we have begun enrolling patients in the PERFORMA Phase 3 trial, evaluating the efficacy and safety of pemvidutide in patients with MASH. The PERFORMA trial is a global, Phase 3, randomized, double-blind, placebo-controlled study evaluating the efficacy, safety and clinical outcomes of pemvidutide in MASH patients with moderate to advanced fibrosis. PERFORMA is our registrational study for pemvidutide in MASH and will assess the effects of treatment on fibrosis improvement and MASH resolution as well as clinical outcomes. The 52-week data readout from the PERFORMA trial to support the accelerated approval of pemvidutide is anticipated in 2029.</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AUD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RECLAIM, a Phase 2 trial evaluating the efficacy and safety of pemvidutide in subjects with AUD, is a randomized, placebo-controlled trial conducted across approximately 15 sites in the United States, targeting enrollment of approximately 100 subjects. Subjects will be randomized 1:1 to receive either 2.4 mg pemvidutide or placebo weekly for 24 weeks. The trial’s primary endpoint is a change in alcohol consumption, measured by the change from baseline in the average number of heavy drinking days (“HDD”) per week measured at Week 24, with the key secondary endpoints including the proportion of subjects achieving a 2-level reduction in World Health Organization (“WHO”) risk drinking level and the absolute change from baseline in average levels of phosphatidylethanol (“PEth”), a serum biomarker of alcohol intake.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2025, the FDA granted Fast Track designation to pemvidutide for the treatment of AUD. Enrollment in the RECLAIM Phase 2 trial in AUD was completed in November 2025, several months ahead of schedule.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28, 2026, we announced the positive topline results from the RECLAIM Phase 2 trial evaluating the 2.4 mg dose of pemvidutide, in patients with moderate to severe AUD. The trial met its primary endpoint with a highly statistically significant reduction in HDD per week versus placebo, with positive results across important secondary endpoints, including a two-level reduction in the WHO risk drinking level and zero HDDs, both of which are FDA registrational endpoints, as well as a reduction in PEth levels. A generally favorable safety and tolerability profile was observed in the trial. We plan to request an End-of-Phase 2 meeting with the FDA based on the results of the trial.</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RESTORE, a Phase 2 trial evaluating the efficacy and safety of pemvidutide in subjects with ALD, is a randomized, placebo-controlled trial enrolling approximately 100 patients across 34 sites in the United States. Subjects will be randomized 1:1 to receive either 2.4 mg pemvidutide or placebo weekly for 48 weeks. The trial’s primary endpoint is the change from baseline in LSM by vibration-controlled transient elastography and will be assessed in a hierarchical manner at Week 48 and then at Week 24. Main secondary endpoints include changes in ELF score at Weeks 24 and 48, and changes in alcohol consumption and body weight at the same time points. In July 2026, we completed enrollment in the RESTORE Phase 2 trial in ALD.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Global Events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Tariffs and 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United States recently imposed reciprocal and additional tariffs on many countries around the world. Such tariffs and counter-tariffs by other countries against the U.S. have been causing uncertainties in the global markets. If the tariffs and counter-tariffs continue or escalate, they could have a significant negative effect on the global economy or on our operations, including continued inflationary pressures on raw materials, supply chain and logistics disruptions, and volatility in the capital markets, foreign exchange rates and interest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 generally affects us by increasing our employee-related costs and clinical trial expenses, as well as other operating expenses. Our financial condition and results of operations may also be impacted by other factors we may not be able to control, such as public health crises, global supply chain disruptions, uncertain global economic conditions, global trade disputes or political instability as further discussed in the section “Risk Factors” in our 2025 Annual Report on Form 10-K.</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Conflict in Middle East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closely monitoring the impact of the ongoing military conflict in the Middle East, including the recent conflict involving the U.S., Israel and Iran, on our business as the conflict has caused increased economic uncertainty and operational complexity globally. While we have no direct exposure to the Middle East, and do not currently believe the situation will have a material impact on our operating results, we are monitoring any broader economic impact from the situation. Should the conflict continue or escalate, it could have a significant negative effect on the global economy or on our operations, including continued inflationary pressures on raw materials, oil and energy prices and clinical trial costs, supply chain and logistics disruptions, volatility in foreign exchange rates and interest rates and heightened cybersecurity threats.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2026 and 2025 (in thousands):</w:t>
      </w:r>
    </w:p>
    <w:tbl>
      <w:tblPr>
        <w:tblW w:w="8123" w:type="dxa"/>
        <w:jc w:val="left"/>
        <w:tblInd w:w="0" w:type="dxa"/>
        <w:tblLayout w:type="fixed"/>
        <w:tblCellMar>
          <w:top w:w="0" w:type="dxa"/>
          <w:left w:w="0" w:type="dxa"/>
          <w:bottom w:w="0" w:type="dxa"/>
          <w:right w:w="0" w:type="dxa"/>
        </w:tblCellMar>
      </w:tblPr>
      <w:tblGrid>
        <w:gridCol w:w="2836"/>
        <w:gridCol w:w="346"/>
        <w:gridCol w:w="211"/>
        <w:gridCol w:w="796"/>
        <w:gridCol w:w="346"/>
        <w:gridCol w:w="211"/>
        <w:gridCol w:w="796"/>
        <w:gridCol w:w="346"/>
        <w:gridCol w:w="211"/>
        <w:gridCol w:w="691"/>
        <w:gridCol w:w="146"/>
        <w:gridCol w:w="871"/>
        <w:gridCol w:w="31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00860" cy="175260"/>
                      <wp:effectExtent l="0" t="0" r="0" b="0"/>
                      <wp:wrapNone/>
                      <wp:docPr id="189" name="Frame188"/>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05460" cy="175260"/>
                      <wp:effectExtent l="0" t="0" r="0" b="0"/>
                      <wp:wrapNone/>
                      <wp:docPr id="192" name="Frame1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05460" cy="175260"/>
                      <wp:effectExtent l="0" t="0" r="0" b="0"/>
                      <wp:wrapNone/>
                      <wp:docPr id="195" name="Frame1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2710" cy="175260"/>
                      <wp:effectExtent l="0" t="0" r="0" b="0"/>
                      <wp:wrapNone/>
                      <wp:docPr id="199" name="Frame1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53085" cy="175260"/>
                      <wp:effectExtent l="0" t="0" r="0" b="0"/>
                      <wp:wrapNone/>
                      <wp:docPr id="200" name="Frame19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0660" cy="175260"/>
                      <wp:effectExtent l="0" t="0" r="0" b="0"/>
                      <wp:wrapNone/>
                      <wp:docPr id="201" name="Frame2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2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1,883</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3,302</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(3,307)</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for the three months ended June 30, 2026 and 2025 consisted primarily of expenses related to product candidate development, summarized as follows:</w:t>
      </w:r>
    </w:p>
    <w:tbl>
      <w:tblPr>
        <w:tblW w:w="8543" w:type="dxa"/>
        <w:jc w:val="left"/>
        <w:tblInd w:w="0" w:type="dxa"/>
        <w:tblLayout w:type="fixed"/>
        <w:tblCellMar>
          <w:top w:w="0" w:type="dxa"/>
          <w:left w:w="0" w:type="dxa"/>
          <w:bottom w:w="0" w:type="dxa"/>
          <w:right w:w="0" w:type="dxa"/>
        </w:tblCellMar>
      </w:tblPr>
      <w:tblGrid>
        <w:gridCol w:w="3496"/>
        <w:gridCol w:w="346"/>
        <w:gridCol w:w="211"/>
        <w:gridCol w:w="676"/>
        <w:gridCol w:w="346"/>
        <w:gridCol w:w="211"/>
        <w:gridCol w:w="676"/>
        <w:gridCol w:w="346"/>
        <w:gridCol w:w="211"/>
        <w:gridCol w:w="691"/>
        <w:gridCol w:w="146"/>
        <w:gridCol w:w="87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19960" cy="175260"/>
                      <wp:effectExtent l="0" t="0" r="0" b="0"/>
                      <wp:wrapNone/>
                      <wp:docPr id="202" name="Frame201"/>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5"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8" name="Frame2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2710" cy="175260"/>
                      <wp:effectExtent l="0" t="0" r="0" b="0"/>
                      <wp:wrapNone/>
                      <wp:docPr id="212" name="Frame2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53085" cy="175260"/>
                      <wp:effectExtent l="0" t="0" r="0" b="0"/>
                      <wp:wrapNone/>
                      <wp:docPr id="213" name="Frame21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0660" cy="175260"/>
                      <wp:effectExtent l="0" t="0" r="0" b="0"/>
                      <wp:wrapNone/>
                      <wp:docPr id="214" name="Frame2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8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1"/>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Pemvidutide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3,066</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pemvidutide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pemvidutide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Non-project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Shared service and infrastructure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research and development expenses was due primarily to the ongoing ALD trial as well as the startup costs for PERFORMA Phase 3 trial in MASH and the non-project costs to support these activities, partially offset by the decrease in expenses related to completion of the RECLAIM Phase 2 trial in AUD and IMPACT Phase 2b trial in MASH, which were ongoing in the second quarter of 2025.</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$1.9 million, or 33%, for the three months ended June 30, 2026, as compared to the three months ended June 30, 2025, primarily due to a $0.6 million increase in compensation expenses and a $1.1 million increase in expenses for professional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Total other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other income (expense), net increased by $2.6 million, or 339%, for the three months ended June 30, 2026, as compared to the three months ended June 30, 2025. The net increase was primarily due to a $3.4 million increase in interest income earned on our cash equivalents and investments in marketable securities, partially offset by a $0.8 million increase in interest expense related to our Term Loan.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2026 and 2025 (in thousands):</w:t>
      </w:r>
    </w:p>
    <w:tbl>
      <w:tblPr>
        <w:tblW w:w="8123" w:type="dxa"/>
        <w:jc w:val="left"/>
        <w:tblInd w:w="0" w:type="dxa"/>
        <w:tblLayout w:type="fixed"/>
        <w:tblCellMar>
          <w:top w:w="0" w:type="dxa"/>
          <w:left w:w="0" w:type="dxa"/>
          <w:bottom w:w="0" w:type="dxa"/>
          <w:right w:w="0" w:type="dxa"/>
        </w:tblCellMar>
      </w:tblPr>
      <w:tblGrid>
        <w:gridCol w:w="2836"/>
        <w:gridCol w:w="346"/>
        <w:gridCol w:w="211"/>
        <w:gridCol w:w="796"/>
        <w:gridCol w:w="346"/>
        <w:gridCol w:w="211"/>
        <w:gridCol w:w="796"/>
        <w:gridCol w:w="346"/>
        <w:gridCol w:w="211"/>
        <w:gridCol w:w="691"/>
        <w:gridCol w:w="146"/>
        <w:gridCol w:w="871"/>
        <w:gridCol w:w="31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800860" cy="175260"/>
                      <wp:effectExtent l="0" t="0" r="0" b="0"/>
                      <wp:wrapNone/>
                      <wp:docPr id="215" name="Frame21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05460" cy="175260"/>
                      <wp:effectExtent l="0" t="0" r="0" b="0"/>
                      <wp:wrapNone/>
                      <wp:docPr id="218" name="Frame2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05460" cy="175260"/>
                      <wp:effectExtent l="0" t="0" r="0" b="0"/>
                      <wp:wrapNone/>
                      <wp:docPr id="221" name="Frame2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38785" cy="175260"/>
                      <wp:effectExtent l="0" t="0" r="0" b="0"/>
                      <wp:wrapNone/>
                      <wp:docPr id="224" name="Frame2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2710" cy="175260"/>
                      <wp:effectExtent l="0" t="0" r="0" b="0"/>
                      <wp:wrapNone/>
                      <wp:docPr id="225" name="Frame2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53085" cy="175260"/>
                      <wp:effectExtent l="0" t="0" r="0" b="0"/>
                      <wp:wrapNone/>
                      <wp:docPr id="226" name="Frame22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0660" cy="175260"/>
                      <wp:effectExtent l="0" t="0" r="0" b="0"/>
                      <wp:wrapNone/>
                      <wp:docPr id="227" name="Frame2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2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3,942</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5,726</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(5,736)</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(3,667)</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for the six months ended June 30, 2026 and 2025 consisted primarily of expenses related to product candidate development, summarized as follows:</w:t>
      </w:r>
    </w:p>
    <w:tbl>
      <w:tblPr>
        <w:tblW w:w="8543" w:type="dxa"/>
        <w:jc w:val="left"/>
        <w:tblInd w:w="0" w:type="dxa"/>
        <w:tblLayout w:type="fixed"/>
        <w:tblCellMar>
          <w:top w:w="0" w:type="dxa"/>
          <w:left w:w="0" w:type="dxa"/>
          <w:bottom w:w="0" w:type="dxa"/>
          <w:right w:w="0" w:type="dxa"/>
        </w:tblCellMar>
      </w:tblPr>
      <w:tblGrid>
        <w:gridCol w:w="3496"/>
        <w:gridCol w:w="346"/>
        <w:gridCol w:w="211"/>
        <w:gridCol w:w="676"/>
        <w:gridCol w:w="346"/>
        <w:gridCol w:w="211"/>
        <w:gridCol w:w="676"/>
        <w:gridCol w:w="346"/>
        <w:gridCol w:w="211"/>
        <w:gridCol w:w="691"/>
        <w:gridCol w:w="146"/>
        <w:gridCol w:w="871"/>
        <w:gridCol w:w="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219960" cy="175260"/>
                      <wp:effectExtent l="0" t="0" r="0" b="0"/>
                      <wp:wrapNone/>
                      <wp:docPr id="228" name="Frame22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29260" cy="175260"/>
                      <wp:effectExtent l="0" t="0" r="0" b="0"/>
                      <wp:wrapNone/>
                      <wp:docPr id="234" name="Frame2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38785" cy="175260"/>
                      <wp:effectExtent l="0" t="0" r="0" b="0"/>
                      <wp:wrapNone/>
                      <wp:docPr id="237" name="Frame2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2710" cy="175260"/>
                      <wp:effectExtent l="0" t="0" r="0" b="0"/>
                      <wp:wrapNone/>
                      <wp:docPr id="238" name="Frame2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53085" cy="175260"/>
                      <wp:effectExtent l="0" t="0" r="0" b="0"/>
                      <wp:wrapNone/>
                      <wp:docPr id="239" name="Frame23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0660" cy="175260"/>
                      <wp:effectExtent l="0" t="0" r="0" b="0"/>
                      <wp:wrapNone/>
                      <wp:docPr id="240" name="Frame2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8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Pemvidutide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5,643</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pemvidutide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pemvidutide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Non-project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Shared service and infrastructure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research and development expenses was due primarily to the ongoing ALD and AUD trials as well as the startup costs for PERFORMA Phase 3 trial in MASH and the non-project costs to support these activities, partially offset by the decrease in expenses related to completion of the IMPACT Phase 2b trial in MASH, which was ongoing in the first six months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$3.9 million, or 34%, for the six months ended June 30, 2026, as compared to the six months ended June 30, 2025, primarily due to a $1.4 million increase in compensation expenses and $1.6 million increase in professional services.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Total other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other income (expense), net increased by $2.8 million, or 118%, for the six months ended June 30, 2026, as compared to the six months ended June 30, 2025. The net increase was primarily due to a $4.8 million increase in interest income earned on our cash equivalents and investments in marketable securities, partially offset by a $1.9 million increase in interest expense related to our Term Loan.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primary sources of cash during the six months ended June 30, 2026 were from equity transactions, interest from our money market funds and investments in marketable securities, and proceeds from maturity of our investments. Our cash, cash equivalents, restricted cash and short-term investments were $326.3 million as of June 30, 2026. In addition, we had $192.3 million in long-term investments. We believe, based on the operating cash requirements and capital expenditures expected for 2026 and 2027, our cash on hand as of June 30, 2026 is sufficient to fund operations for at least a twelve-month period from the issuance date of our June 30, 2026 consolidated financial statements.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generated any revenues from the sale of any products to date and there is no assurance of any future revenues from product sales. We have incurred significant losses since we commenced operations. As of June 30, 2026, we had an accumulated deficit of $694.9 million. In addition, we have not generated positive cash flows from operations. We have relied on a variety of financing sources, including the issuance of debt and equity securities. As capital resources are consumed to fund our research and development activities, we may require additional capital beyond our currently anticipated amounts. In order to address our capital needs, including our planned clinical trials, we must continue to actively pursue additional equity or debt financing, and monetization of our existing programs through partnership arrangements or sales to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Loan Financing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13, 2025 (“Closing Date”), we entered into a Loan and Security Agreement (“Loan Agreement”) with Hercules Capital, Inc. (“Hercules”) and the lenders party thereto, pursuant to which the lenders will make available up to four tranches of term loans in an aggregate principal amount of $100.0 million (the “Term Loan”), subject to certain terms and conditions. The first Term Loan tranche was drawn down on the Closing Date in an aggregate principal amount of $15.0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5, 2025, (the “Amendment Closing”), we entered into an amendment to the Loan Agreement with Hercules and the lenders party thereto, pursuant to which the lenders will, subject to certain terms and conditions, increase the availability under the Term Loan from an aggregate principal amount of $100.0 million to $125.0 million. The Term Loan, as amended, is structured in four tranches. As disclosed above, the first Term Loan tranche was drawn down on the Closing Date in an aggregate principal amount of $15.0 million. The second Term Loan tranche was drawn down on the Amendment Closing in an aggregate principal amount of $20.0 million. Upon the achievement of certain milestones and subject to other terms and conditions set out in the Loan Agreement, as amended, the third Term Loan tranche will be made available in an aggregate principal amount of up to $10.0 million. The fourth Term Loan tranche will be made available in an aggregate principal amount of up to $80.0 million subject to the approval of the lenders. The Term Loan, as amended, bears interest equal to the greater of (a) 9.70% per annum and (b) the prime rate as reported in The Wall Street Journal plus 2.45% per annum. The interest-only period has been extended to 30 months from May 13,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Shelf Registrations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13, 2025, we filed a shelf registration statement on Form S-3, as amended, which was declared effective on December 5, 2025. This shelf registration allows us to offer and sell up to $400.0 million of our common stock, preferred stock, debt securities, warrants, rights and units (the “November 2025 Shelf”) for a period of 3 years from effectiveness. On April 22, 2026, we filed a registration statement on Form S-3MEF which was declared effective immediately. This shelf registration allowed us to increase the aggregate amount under the November 2025 Shelf by an additional $65.0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27, 2025, we filed a shelf registration statement on Form S-3, which was declared effective on March 13, 2025. This shelf registration allows us to offer and sell up to $400.0 million of our common stock, preferred stock, debt securities, warrants, rights and units (the “February 2025 Shelf”) for a period of 3 years from effectiveness.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2023, we filed a shelf registration statement on Form S-3ASR, which was declared effective immediately. This shelf registration allowed us to offer and sell any amount of our common stock, preferred stock, debt securities, warrants, rights and units (the “2023 Shelf”). The 2023 Shelf expired on February 27, 2025.</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ATM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6, 2025, we entered into an Equity Distribution Agreement (the “November 2025 Agreement”) with Leerink Partners LLC serving as sales agent, with respect to an ATM offerings program under which we may offer and sell shares of our common stock having an aggregate offering price of up to $200.0 million through the sales agent from the February 2025 Shelf. Since inception through June 30, 2026, we raised approximately $34.2 million in net proceeds, with $165.3 million remaining available to be sold under the November 2025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27, 2025, we entered into an Equity Distribution Agreement (the “February 2025 Agreement”) with Leerink Partners LLC, Piper Sandler &amp; Co. and Stifel, Nicolaus &amp; Company, Incorporated, serving as sales agents, with respect to an ATM offerings program under which we offered and sold shares of our common stock having an aggregate offering price of up to $150.0 million through the sales agents from the February 2025 Shelf. Since inception, through the termination of the February 2025 Agreement in November 2025, we raised approximately $118.3 million in net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2023, we entered into an Equity Distribution Agreement (the “2023 Agreement”) with Evercore Group L.L.C., JMP Securities LLC and B. Riley Securities, Inc., serving as sales agents, with respect to an ATM offerings program under which we offered and sold shares of our common stock having an aggregate offering price of up to $150.0 million through the sales agents from the 2023 Shelf. Since inception through the termination of the 2023 Agreement in February 2025, we raised approximately $126.8 million in net proceeds.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January 2026 RDO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27, 2026, we entered into a securities purchase agreement with a new fundamental institutional investor pursuant to a registered direct offering under the November 2025 Shelf for the purchase and sale of 12,397,920 shares of our common stock and 4,647,534 pre-funded warrants for net proceeds of approximately $70.3 million. The pre-funded warrants were fully exercised on February 13, 2026, resulting in the issuance of 4,647,534 shares of our common stock.</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April 2026 Offering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April 22, 2026, we entered into an underwriting agreement with certain underwriters pursuant to which we offered and sold securities consisting of (i) 64,250,000 shares of our common stock and accompanying common stock warrants to purchase an aggregate of 64,250,000 shares of common stock (or pre-funded warrants in lieu thereof) and (ii) in lieu of common stock, to certain investors that so choose, pre-funded warrants to purchase an aggregate of up to 10,750,000 shares of its common stock and accompanying common stock warrants to purchase an aggregate of 10,750,000 shares of common stock (or pre-funded warrants in lieu thereof), at an exercise price of $0.001 per pre-funded warrant. The common stock and pre-funded warrants were sold in combination with an accompanying common stock warrant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 one share of common stock (or pre-funded warrant in lieu thereof) issued for each share of common stock or pre-funded warrant sold. The accompanying common stock warrant has an exercise price of $3.00 per share and is immediately exercisable from the date of issuance. The combined offering price of each share of common stock and accompanying common stock warrant is $3.00. The combined offering price of each pre-funded warrant and accompanying common stock warrant is $2.999. The net proceeds of the April 2026 Offering were approximately $211.1 million, after deducting the underwriting discount and estimated offering expenses. If all of the common stock warrants sold in the April 2026 Offering were to be exercised in cash at their exercise price, we would receive additional gross proceeds of $225 million. All shares of common stock, pre-funded warrants and common stock warrants offered and sold in the April 2026 Offering were issued pursuant to the February 2025 Shelf, the November 2025 Shelf and a related registration statement that was filed with the SEC on April 22, 2026 pursuant to Rule 462(b) under the Securities Act of 1933, as amended, and became automatically effective upon filing as permitted under Rule 429.</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information regarding our cash flows for the six months ended June 30, 2026 and 2025:</w:t>
      </w:r>
    </w:p>
    <w:tbl>
      <w:tblPr>
        <w:tblW w:w="9728" w:type="dxa"/>
        <w:jc w:val="left"/>
        <w:tblInd w:w="0" w:type="dxa"/>
        <w:tblLayout w:type="fixed"/>
        <w:tblCellMar>
          <w:top w:w="0" w:type="dxa"/>
          <w:left w:w="0" w:type="dxa"/>
          <w:bottom w:w="0" w:type="dxa"/>
          <w:right w:w="0" w:type="dxa"/>
        </w:tblCellMar>
      </w:tblPr>
      <w:tblGrid>
        <w:gridCol w:w="5011"/>
        <w:gridCol w:w="346"/>
        <w:gridCol w:w="211"/>
        <w:gridCol w:w="901"/>
        <w:gridCol w:w="346"/>
        <w:gridCol w:w="211"/>
        <w:gridCol w:w="796"/>
        <w:gridCol w:w="346"/>
        <w:gridCol w:w="284"/>
        <w:gridCol w:w="1276"/>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181985" cy="175260"/>
                      <wp:effectExtent l="0" t="0" r="0" b="0"/>
                      <wp:wrapNone/>
                      <wp:docPr id="241" name="Frame240"/>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72135" cy="175260"/>
                      <wp:effectExtent l="0" t="0" r="0" b="0"/>
                      <wp:wrapNone/>
                      <wp:docPr id="244" name="Frame24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05460" cy="175260"/>
                      <wp:effectExtent l="0" t="0" r="0" b="0"/>
                      <wp:wrapNone/>
                      <wp:docPr id="247" name="Frame2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0340" cy="175260"/>
                      <wp:effectExtent l="0" t="0" r="0" b="0"/>
                      <wp:wrapNone/>
                      <wp:docPr id="249" name="Frame24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10260" cy="175260"/>
                      <wp:effectExtent l="0" t="0" r="0" b="0"/>
                      <wp:wrapNone/>
                      <wp:docPr id="250" name="Frame24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84"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pPr>
            <w:r>
              <w:rPr/>
              <w:t>  ​</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(36,190)</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8,973</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96,006</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(321,139)</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289,544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86,363</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203,181</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146,179</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(126,931)</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$45.2 million for the six months ended June 30, 2026 compared to $36.2 million during the six months ended June 30, 2025. The primary uses of cash from our operating activities included payments for labor and labor-related costs, professional fees, research and development costs associated with our clinical trials, and other general corporate expenditures. The increase in cash used in operations of $9.0 million year over year was due to changes in working capital accounts of $5.9 million and an increase in net loss as adjusted for non-cash items of $3.1 million.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$225.1 million for the six months ended June 30, 2026 compared to $96.0 million net cash provided by investing activities during the six months ended June 30, 2025. The net cash used in investing activities during the six months ended June 30, 2026 was primarily due to a $332.4 million purchase of investments in marketable securities, partially offset by a $107.3 million in proceeds from sales and maturities of these investments. The net cash provided by investing activities during the six months ended June 30, 2025 was primarily due to a $143.6 million in proceeds from sales and maturities of investments in marketable securities, partially offset by a $47.6 million purchase of investments in marketable securities.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Financing Activities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financing activities was $289.5 million during the six months ended June 30, 2026 compared to $86.4 million cash provided by financing activities during the six months ended June 30, 2025. The net cash provided by financing activities during the six months ended June 30, 2026 was primarily the result of the receipt of $211.1 million in net proceeds from the April 2026 Offering, $70.3 million in net proceeds from the January 2026 RDO, $8.7 million in net proceeds from the issuance of common stock from our ATM offerings program, net of deferred offering costs, $0.2 million in proceeds from the sale of shares under the ESPP, partially offset by $0.7 million net payments for tax withholding obligations related to share-based compensation. The net cash provided by financing activities during the six months ended June 30, 2025 was primarily the result of the receipt of $72.3 million in net proceeds from the issuance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common stock from our ATM offerings program, $14.6 million in net proceeds from the term loan, and $0.2 million in proceeds from the sale of shares under the ESPP, partially offset by $0.7 million net payments for tax withholding obligations related to share-based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financed our operations to date principally through our equity offerings, debt and proceeds from issuances of our preferred stock, common stock and warrants. As of June 30, 2026, we had $63.1 million of cash, cash equivalents and restricted cash and $455.5 million of investments in marketable securities, of which $263.3 million is in short-term investments. Accordingly, management believes that we have sufficient capital to fund our plan of operations for at least a twelve-month period from the issuance date of our June 30, 2026 consolidated financial statements. In order to address our long-term capital needs, including our planned clinical trials, in April 2026, we raised approximately $211.1 million in net proceeds from the April 2026 Offering. If all of the common stock warrants issued in the April 2026 Offering are exercised, we would receive an additional $225 million in gross proceeds.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is based upon our unaudited consolidated financial statements, which have been prepared in accordance with U.S. GAAP and the rules and regulations of the SEC for interim financial reporting. The preparation of these financial statements requires us to make estimates and judgments that affect the reported amounts of assets, liabilities, revenues, expenses, and the disclosure of contingent liabilities in our consolidated financial statements. We base our estimates and judgments on historical experience, knowledge of current conditions, and expectations of what could occur in the future given available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calculated the fair value of stock option awards using the Black-Scholes option pricing model. The Black-Scholes option pricing model requires the input of subjective assumptions, including stock price volatility and the expected life of stock options. The application of this valuation model involves assumptions that are highly subjective, judgmental and sensitive in the determination of compensation cost. Having achieved sufficient historical data on our own stock, effective January 1, 2026, the expected stock price volatility for stock option awards is based on the historical volatility of our stock price volatility. The average expected life of stock options was determined according to the “simplified method” as described in SAB 107, which is the midpoint between the vesting date and the end of the contractual term. The risk-free interest rate was determined by reference to implied yields available from U.S. Treasury securities with a remaining term equal to the expected life assumed at the date of grant. We have not paid and do not anticipate paying cash dividends. Therefore, the expected dividend rate is assumed to be 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disclosed above, there have been no changes in our critical accounting policies and significant judgment and estimates as disclosed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bookmarkStart w:id="1009" w:name="Item3QuantitativeandQualitativeDisclosur"/>
      <w:bookmarkStart w:id="1010" w:name="_9b2b9824_d0d0_4946_87d8_a25f9e25bca4"/>
      <w:bookmarkEnd w:id="1009"/>
      <w:bookmarkEnd w:id="1010"/>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a “smaller reporting company” as defined by Item 10 of Regulation S-K, we are not required to provide the information required by this Item.</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011" w:name="Item4ControlsandProcedures_640907"/>
      <w:bookmarkStart w:id="1012" w:name="_590a8696_ae66_41ec_b2f3_a2a9aa08893b"/>
      <w:bookmarkEnd w:id="1011"/>
      <w:bookmarkEnd w:id="1012"/>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pursuant to Rule 13a-15 under the Securities Exchange Act of 1934, as amended (the “Exchange Act”) as of the end of the period covered by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this evaluation, our principal executive officer and principal financial officer concluded that, as of June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2026, we completed the implementation of a new enterprise resource planning (ERP) system, which is designed to improve the efficiency of our financial close process and related financial reporting. As part of the implementation, we updated our internal controls as necessary to reflect the system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the changes disclosed above, there were no changes in our internal control over financial reporting (as defined in Rule 13a-15(f) and Rule 15d-15(f) under the Exchange Act) during the quarter ended June 30, 2026 identified in connection with the evaluation thereof by our management, including the Chief Executive Officer and Chief Financial Officer, that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013" w:name="PARTIIOTHERINFORMATION_760989"/>
      <w:bookmarkStart w:id="1014" w:name="_fbb3df52_2125_48fb_9411_1d3c16d4f6a2"/>
      <w:bookmarkEnd w:id="1013"/>
      <w:bookmarkEnd w:id="1014"/>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15" w:name="Item1LegalProceedings_974488"/>
      <w:bookmarkEnd w:id="1015"/>
      <w:r>
        <w:rPr>
          <w:rFonts w:ascii="Times New Roman;Times;serif" w:hAnsi="Times New Roman;Times;serif"/>
          <w:b/>
          <w:sz w:val="20"/>
        </w:rPr>
        <w:t>Item 1.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various legal proceedings or investigations, which could be costly and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240"/>
        <w:ind w:left="0" w:right="0" w:hanging="0"/>
        <w:jc w:val="left"/>
        <w:rPr>
          <w:rFonts w:ascii="Times New Roman;Times;serif" w:hAnsi="Times New Roman;Times;serif"/>
          <w:b/>
          <w:sz w:val="20"/>
        </w:rPr>
      </w:pPr>
      <w:bookmarkStart w:id="1016" w:name="Item1ARiskFactors_350839"/>
      <w:bookmarkStart w:id="1017" w:name="_942114bd_dbf3_481e_bbdc_19205f0438bc"/>
      <w:bookmarkEnd w:id="1016"/>
      <w:bookmarkEnd w:id="1017"/>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from the risk factors disclosed in our Annual Report on Form 10-K filed with the SEC on March 6, 2026.</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018" w:name="Item2UnregisteredSalesofEquitySecurities"/>
      <w:bookmarkStart w:id="1019" w:name="_f5709bf4_f8d1_46c6_a0c4_f034490e58a9"/>
      <w:bookmarkEnd w:id="1018"/>
      <w:bookmarkEnd w:id="1019"/>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240"/>
        <w:ind w:left="0" w:right="0" w:hanging="0"/>
        <w:jc w:val="left"/>
        <w:rPr>
          <w:rFonts w:ascii="Times New Roman;Times;serif" w:hAnsi="Times New Roman;Times;serif"/>
          <w:b/>
          <w:sz w:val="20"/>
        </w:rPr>
      </w:pPr>
      <w:bookmarkStart w:id="1020" w:name="Item3DefaultuponSeniorSecurities_41291"/>
      <w:bookmarkStart w:id="1021" w:name="_606a94d7_cfc6_4e6c_a556_04422a85cfbb"/>
      <w:bookmarkEnd w:id="1020"/>
      <w:bookmarkEnd w:id="1021"/>
      <w:r>
        <w:rPr>
          <w:rFonts w:ascii="Times New Roman;Times;serif" w:hAnsi="Times New Roman;Times;serif"/>
          <w:b/>
          <w:sz w:val="20"/>
        </w:rPr>
        <w:t>Item 3. Default upon Senior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22" w:name="Item4MineSafetyDisclosures_637902"/>
      <w:bookmarkStart w:id="1023" w:name="_a6b9aaf6_4a6e_4d58_a9dd_8db878e0066d"/>
      <w:bookmarkEnd w:id="1022"/>
      <w:bookmarkEnd w:id="1023"/>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24" w:name="Item5OtherInformation_359177"/>
      <w:bookmarkStart w:id="1025" w:name="_5df04b8b_4ad5_491d_a972_d2ee1795c796"/>
      <w:bookmarkEnd w:id="1024"/>
      <w:bookmarkEnd w:id="1025"/>
      <w:r>
        <w:rPr>
          <w:rFonts w:ascii="Times New Roman;Times;serif" w:hAnsi="Times New Roman;Times;serif"/>
          <w:b/>
          <w:sz w:val="20"/>
        </w:rPr>
        <w:t>Item 5. 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our officers or directors adopted, modified, or terminated a “Rule 10b5-1 trading arrangement” or “non-Rule 10b5-1 trading arrangement” as defined in Item 408(c) of Regulation S-K during the three months ended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26" w:name="Item6Exhibits_593392"/>
      <w:bookmarkStart w:id="1027" w:name="_400ca705_726c_4c50_bfcf_08d35f1ec3da"/>
      <w:bookmarkEnd w:id="1026"/>
      <w:bookmarkEnd w:id="1027"/>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66"/>
        <w:gridCol w:w="346"/>
        <w:gridCol w:w="8793"/>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76910" cy="175260"/>
                      <wp:effectExtent l="0" t="0" r="0" b="0"/>
                      <wp:wrapNone/>
                      <wp:docPr id="251" name="Frame25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center"/>
              <w:rPr/>
            </w:pPr>
            <w:r>
              <w:rPr/>
              <w:t>​</w:t>
            </w:r>
          </w:p>
        </w:tc>
      </w:tr>
      <w:tr>
        <w:trPr/>
        <w:tc>
          <w:tcPr>
            <w:tcW w:w="1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vAlign w:val="center"/>
          </w:tcPr>
          <w:p>
            <w:pPr>
              <w:pStyle w:val="TableContents"/>
              <w:bidi w:val="0"/>
              <w:spacing w:before="0" w:after="0"/>
              <w:ind w:left="0" w:right="0" w:hanging="0"/>
              <w:jc w:val="left"/>
              <w:rPr/>
            </w:pPr>
            <w:r>
              <w:rPr/>
              <w:t>  ​ ​ ​</w:t>
            </w:r>
          </w:p>
        </w:tc>
        <w:tc>
          <w:tcPr>
            <w:tcW w:w="87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06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76910" cy="175260"/>
                      <wp:effectExtent l="0" t="0" r="0" b="0"/>
                      <wp:wrapNone/>
                      <wp:docPr id="252" name="Frame25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79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Underwriting Agreement, dated April 22, 2026, by and between the Company, Leerink Partners LLC and Barclays Capital Inc., as representatives of the several underwriters named therein (incorporated by reference to Exhibit 1.1 to the Registrant’s Form 8-K filed on April 24,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Certificate of Incorporation, dated October 17, 2017 (incorporated by reference to Exhibit 3.1 to the Registrant’s Form 8-K filed on October 18, 2017)</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regarding a reverse stock split (incorporated by reference to Exhibit 3.1 to the Registrant’s Form 8-K filed on September 13, 2018)</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Amended and Restated Certificate of Incorporation regarding an increase in authorized shares (incorporated by reference to Exhibit 3.2 to the Registrant’s Form 8-K filed on September 13, 2018)</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Amendment to Amended and Restated Certificate of Incorporation regarding an increase in authorized shares (incorporated by reference to Exhibit 3.1 to the Registrant’s Form 8-K filed on April 16,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Amended and Restated Bylaws of Altimmune, Inc. (incorporated by reference to Exhibit 3.2 to the Registrant’s Form 8-K filed on October 18, 2017)</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Common Stock Warrant (incorporated by reference to Exhibit 4.1 to the Registrant’s Form 8-K filed on April 24,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Pre-Funded Warrant (incorporated by reference to Exhibit 4.2 to the Registrant’s Form 8-K filed on April 24,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 †</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w:anchor="alt-20260630xex31d1.htm">
              <w:r>
                <w:rPr>
                  <w:rStyle w:val="InternetLink"/>
                  <w:rFonts w:ascii="Times New Roman;Times;serif" w:hAnsi="Times New Roman;Times;serif"/>
                  <w:b w:val="false"/>
                  <w:i w:val="false"/>
                  <w:caps w:val="false"/>
                  <w:smallCaps w:val="false"/>
                  <w:sz w:val="20"/>
                </w:rPr>
                <w:t>Certification of Principal Executive Officer Pursuant to SEC Rule 13a-14(a)/15d-14(a)</w:t>
              </w:r>
            </w:hyperlink>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 †</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w:anchor="alt-20260630xex31d2.htm">
              <w:r>
                <w:rPr>
                  <w:rStyle w:val="InternetLink"/>
                  <w:rFonts w:ascii="Times New Roman;Times;serif" w:hAnsi="Times New Roman;Times;serif"/>
                  <w:b w:val="false"/>
                  <w:i w:val="false"/>
                  <w:caps w:val="false"/>
                  <w:smallCaps w:val="false"/>
                  <w:sz w:val="20"/>
                </w:rPr>
                <w:t>Certification of Principal Financial Officer Pursuant to SEC Rule 13a-14(a)/15d-14(a)</w:t>
              </w:r>
            </w:hyperlink>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 †</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w:anchor="alt-20260630xex32d1.htm">
              <w:r>
                <w:rPr>
                  <w:rStyle w:val="InternetLink"/>
                  <w:rFonts w:ascii="Times New Roman;Times;serif" w:hAnsi="Times New Roman;Times;serif"/>
                  <w:b w:val="false"/>
                  <w:i w:val="false"/>
                  <w:caps w:val="false"/>
                  <w:smallCaps w:val="false"/>
                  <w:sz w:val="20"/>
                </w:rPr>
                <w:t>Certification Pursuant to Section 1350 of Chapter 63 of Title 18 of the United States Code</w:t>
              </w:r>
            </w:hyperlink>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 †</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pPr>
            <w:hyperlink w:anchor="alt-20260630xex32d2.htm">
              <w:r>
                <w:rPr>
                  <w:rStyle w:val="InternetLink"/>
                  <w:rFonts w:ascii="Times New Roman;Times;serif" w:hAnsi="Times New Roman;Times;serif"/>
                  <w:b w:val="false"/>
                  <w:i w:val="false"/>
                  <w:caps w:val="false"/>
                  <w:smallCaps w:val="false"/>
                  <w:sz w:val="20"/>
                </w:rPr>
                <w:t>Certification Pursuant to Section 1350 of Chapter 63 of Title 18 of the United States Code</w:t>
              </w:r>
            </w:hyperlink>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066" w:type="dxa"/>
            <w:tcBorders/>
            <w:vAlign w:val="center"/>
          </w:tcPr>
          <w:p>
            <w:pPr>
              <w:pStyle w:val="TableContents"/>
              <w:bidi w:val="0"/>
              <w:spacing w:before="0" w:after="0"/>
              <w:ind w:left="0" w:right="0" w:hanging="0"/>
              <w:jc w:val="left"/>
              <w:rPr/>
            </w:pPr>
            <w:r>
              <w:rPr/>
              <w:t>​</w:t>
            </w:r>
          </w:p>
        </w:tc>
        <w:tc>
          <w:tcPr>
            <w:tcW w:w="9139" w:type="dxa"/>
            <w:gridSpan w:val="2"/>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  ​</w:t>
            </w:r>
          </w:p>
        </w:tc>
        <w:tc>
          <w:tcPr>
            <w:tcW w:w="8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60"/>
              <w:jc w:val="both"/>
              <w:rPr/>
            </w:pPr>
            <w:r>
              <w:rPr/>
              <w:t>†</w:t>
            </w:r>
          </w:p>
        </w:tc>
        <w:tc>
          <w:tcPr>
            <w:tcW w:w="9964"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Filed herewith</w:t>
            </w:r>
          </w:p>
        </w:tc>
      </w:tr>
    </w:tbl>
    <w:tbl>
      <w:tblPr>
        <w:tblW w:w="9167" w:type="dxa"/>
        <w:jc w:val="left"/>
        <w:tblInd w:w="0" w:type="dxa"/>
        <w:tblLayout w:type="fixed"/>
        <w:tblCellMar>
          <w:top w:w="0" w:type="dxa"/>
          <w:left w:w="0" w:type="dxa"/>
          <w:bottom w:w="0" w:type="dxa"/>
          <w:right w:w="0" w:type="dxa"/>
        </w:tblCellMar>
      </w:tblPr>
      <w:tblGrid>
        <w:gridCol w:w="226"/>
        <w:gridCol w:w="8941"/>
      </w:tblGrid>
      <w:tr>
        <w:trPr/>
        <w:tc>
          <w:tcPr>
            <w:tcW w:w="226"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w:t>
            </w:r>
          </w:p>
        </w:tc>
        <w:tc>
          <w:tcPr>
            <w:tcW w:w="8941" w:type="dxa"/>
            <w:tcBorders/>
            <w:vAlign w:val="center"/>
          </w:tcPr>
          <w:p>
            <w:pPr>
              <w:pStyle w:val="TableContents"/>
              <w:bidi w:val="0"/>
              <w:spacing w:before="0" w:after="60"/>
              <w:jc w:val="both"/>
              <w:rPr>
                <w:rFonts w:ascii="Times New Roman;Times;serif" w:hAnsi="Times New Roman;Times;serif"/>
                <w:sz w:val="20"/>
              </w:rPr>
            </w:pPr>
            <w:r>
              <w:rPr>
                <w:rFonts w:ascii="Times New Roman;Times;serif" w:hAnsi="Times New Roman;Times;serif"/>
                <w:sz w:val="20"/>
              </w:rPr>
              <w:t>Certain portions of this exhibit have been omitted in accordance with Item 601(b)(10)(iv) of Regulation S-K.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8" w:name="SIGNATURES_71153"/>
      <w:bookmarkStart w:id="1029" w:name="_0d784af5_edd3_46f6_ac5a_29922c7737fc"/>
      <w:bookmarkEnd w:id="1028"/>
      <w:bookmarkEnd w:id="1029"/>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the report to be signed on its behalf by the undersigned, thereunto duly authorized.</w:t>
      </w:r>
    </w:p>
    <w:tbl>
      <w:tblPr>
        <w:tblW w:w="8358" w:type="dxa"/>
        <w:jc w:val="left"/>
        <w:tblInd w:w="0" w:type="dxa"/>
        <w:tblLayout w:type="fixed"/>
        <w:tblCellMar>
          <w:top w:w="0" w:type="dxa"/>
          <w:left w:w="0" w:type="dxa"/>
          <w:bottom w:w="0" w:type="dxa"/>
          <w:right w:w="0" w:type="dxa"/>
        </w:tblCellMar>
      </w:tblPr>
      <w:tblGrid>
        <w:gridCol w:w="2056"/>
        <w:gridCol w:w="631"/>
        <w:gridCol w:w="5671"/>
      </w:tblGrid>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63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ALTIMMUNE, INC.</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Jerome Durso</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6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Jerome Durso</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Weaver</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6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Weaver</w:t>
            </w:r>
          </w:p>
        </w:tc>
      </w:tr>
      <w:tr>
        <w:trPr/>
        <w:tc>
          <w:tcPr>
            <w:tcW w:w="205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right"/>
        <w:rPr>
          <w:rFonts w:ascii="Times New Roman;Times;serif" w:hAnsi="Times New Roman;Times;serif"/>
          <w:b/>
          <w:sz w:val="20"/>
        </w:rPr>
      </w:pPr>
      <w:bookmarkStart w:id="1030" w:name="alt-20260630xex31d1.htm"/>
      <w:bookmarkStart w:id="1031" w:name="ksalt20260630xex31d1"/>
      <w:bookmarkEnd w:id="1030"/>
      <w:bookmarkEnd w:id="1031"/>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 Rule 13a-14(a)/15d-14(a)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Jerome Durso, certify that:</w:t>
      </w:r>
    </w:p>
    <w:tbl>
      <w:tblPr>
        <w:tblW w:w="7990" w:type="dxa"/>
        <w:jc w:val="left"/>
        <w:tblInd w:w="0" w:type="dxa"/>
        <w:tblLayout w:type="fixed"/>
        <w:tblCellMar>
          <w:top w:w="0" w:type="dxa"/>
          <w:left w:w="0" w:type="dxa"/>
          <w:bottom w:w="0" w:type="dxa"/>
          <w:right w:w="0" w:type="dxa"/>
        </w:tblCellMar>
      </w:tblPr>
      <w:tblGrid>
        <w:gridCol w:w="170"/>
        <w:gridCol w:w="782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8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Altimmune, Inc. for the period ended June 30, 2026;</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762" w:type="dxa"/>
        <w:jc w:val="center"/>
        <w:tblInd w:w="0" w:type="dxa"/>
        <w:tblLayout w:type="fixed"/>
        <w:tblCellMar>
          <w:top w:w="0" w:type="dxa"/>
          <w:left w:w="0" w:type="dxa"/>
          <w:bottom w:w="0" w:type="dxa"/>
          <w:right w:w="0" w:type="dxa"/>
        </w:tblCellMar>
      </w:tblPr>
      <w:tblGrid>
        <w:gridCol w:w="2056"/>
        <w:gridCol w:w="3706"/>
      </w:tblGrid>
      <w:tr>
        <w:trPr/>
        <w:tc>
          <w:tcPr>
            <w:tcW w:w="205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Jerome Durso</w:t>
            </w:r>
          </w:p>
        </w:tc>
      </w:tr>
      <w:tr>
        <w:trPr/>
        <w:tc>
          <w:tcPr>
            <w:tcW w:w="205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Jerome Durso</w:t>
            </w:r>
          </w:p>
        </w:tc>
      </w:tr>
      <w:tr>
        <w:trPr/>
        <w:tc>
          <w:tcPr>
            <w:tcW w:w="205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b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32" w:name="alt-20260630xex31d2.htm"/>
      <w:bookmarkStart w:id="1033" w:name="ksalt20260630xex31d2"/>
      <w:bookmarkEnd w:id="1032"/>
      <w:bookmarkEnd w:id="1033"/>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 Rule 13a-14(a)/15d-14(a)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Greg Weaver, certify that:</w:t>
      </w:r>
    </w:p>
    <w:tbl>
      <w:tblPr>
        <w:tblW w:w="7990" w:type="dxa"/>
        <w:jc w:val="left"/>
        <w:tblInd w:w="0" w:type="dxa"/>
        <w:tblLayout w:type="fixed"/>
        <w:tblCellMar>
          <w:top w:w="0" w:type="dxa"/>
          <w:left w:w="0" w:type="dxa"/>
          <w:bottom w:w="0" w:type="dxa"/>
          <w:right w:w="0" w:type="dxa"/>
        </w:tblCellMar>
      </w:tblPr>
      <w:tblGrid>
        <w:gridCol w:w="170"/>
        <w:gridCol w:w="782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8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Altimmune, Inc. for the period ended June 30, 2026;</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562" w:type="dxa"/>
        <w:jc w:val="center"/>
        <w:tblInd w:w="0" w:type="dxa"/>
        <w:tblLayout w:type="fixed"/>
        <w:tblCellMar>
          <w:top w:w="0" w:type="dxa"/>
          <w:left w:w="0" w:type="dxa"/>
          <w:bottom w:w="0" w:type="dxa"/>
          <w:right w:w="0" w:type="dxa"/>
        </w:tblCellMar>
      </w:tblPr>
      <w:tblGrid>
        <w:gridCol w:w="2056"/>
        <w:gridCol w:w="2506"/>
      </w:tblGrid>
      <w:tr>
        <w:trPr/>
        <w:tc>
          <w:tcPr>
            <w:tcW w:w="205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 Weaver</w:t>
            </w:r>
          </w:p>
        </w:tc>
      </w:tr>
      <w:tr>
        <w:trPr/>
        <w:tc>
          <w:tcPr>
            <w:tcW w:w="205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Greg Weaver</w:t>
            </w:r>
          </w:p>
        </w:tc>
      </w:tr>
      <w:tr>
        <w:trPr/>
        <w:tc>
          <w:tcPr>
            <w:tcW w:w="205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b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34" w:name="alt-20260630xex32d1.htm"/>
      <w:bookmarkStart w:id="1035" w:name="ksalt20260630xex32d1"/>
      <w:bookmarkEnd w:id="1034"/>
      <w:bookmarkEnd w:id="1035"/>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1350 of Chapter 63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 Title 18 of the United States Code</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Altimmune, Inc. (the “Company”) for the period ended June 30, 2026, as filed with the Securities and Exchange Commission (the “Report”), I, Jerome Durso, President and Chief Executive Officer of the Company, certify, pursuant to 18 U.S.C. Section 1350, as adopted pursuant to Section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19935" cy="175260"/>
                      <wp:effectExtent l="0" t="0" r="0" b="0"/>
                      <wp:wrapNone/>
                      <wp:docPr id="253" name="Frame252"/>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7790" cy="175260"/>
                      <wp:effectExtent l="0" t="0" r="0" b="0"/>
                      <wp:wrapNone/>
                      <wp:docPr id="254" name="Frame25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Jerome Durso</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Jerome Durso</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12,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36" w:name="alt-20260630xex32d2.htm"/>
      <w:bookmarkStart w:id="1037" w:name="ksalt20260630xex32d2"/>
      <w:bookmarkEnd w:id="1036"/>
      <w:bookmarkEnd w:id="1037"/>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1350 of Chapter 63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 Title 18 of the United States Code</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Altimmune, Inc. (the “Company”) for the period ended June 30, 2026, as filed with the Securities and Exchange Commission (the “Report”), I, Gregory Weaver, Chief Financial Officer of the Company, certify, pursuant to 18 U.S.C. Section 1350, as adopted pursuant to Section 906 of the Sarbanes-Oxley Act of 2002, that to the best of my knowledge:</w:t>
      </w:r>
    </w:p>
    <w:tbl>
      <w:tblPr>
        <w:tblW w:w="9400" w:type="dxa"/>
        <w:jc w:val="left"/>
        <w:tblInd w:w="0" w:type="dxa"/>
        <w:tblLayout w:type="fixed"/>
        <w:tblCellMar>
          <w:top w:w="0" w:type="dxa"/>
          <w:left w:w="0" w:type="dxa"/>
          <w:bottom w:w="0" w:type="dxa"/>
          <w:right w:w="0" w:type="dxa"/>
        </w:tblCellMar>
      </w:tblPr>
      <w:tblGrid>
        <w:gridCol w:w="170"/>
        <w:gridCol w:w="923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2135" w:type="dxa"/>
        <w:jc w:val="center"/>
        <w:tblInd w:w="0" w:type="dxa"/>
        <w:tblLayout w:type="fixed"/>
        <w:tblCellMar>
          <w:top w:w="0" w:type="dxa"/>
          <w:left w:w="0" w:type="dxa"/>
          <w:bottom w:w="0" w:type="dxa"/>
          <w:right w:w="0" w:type="dxa"/>
        </w:tblCellMar>
      </w:tblPr>
      <w:tblGrid>
        <w:gridCol w:w="1981"/>
        <w:gridCol w:w="154"/>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57935" cy="175260"/>
                      <wp:effectExtent l="0" t="0" r="0" b="0"/>
                      <wp:wrapNone/>
                      <wp:docPr id="255" name="Frame254"/>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97790" cy="175260"/>
                      <wp:effectExtent l="0" t="0" r="0" b="0"/>
                      <wp:wrapNone/>
                      <wp:docPr id="256" name="Frame2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 Weaver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Weaver</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12,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26190/000110465926048552/tm2612493d2_ex1-1.htm" TargetMode="External"/><Relationship Id="rId4" Type="http://schemas.openxmlformats.org/officeDocument/2006/relationships/hyperlink" Target="https://www.sec.gov/Archives/edgar/data/1326190/000119312517312751/d470504dex31.htm" TargetMode="External"/><Relationship Id="rId5" Type="http://schemas.openxmlformats.org/officeDocument/2006/relationships/hyperlink" Target="https://www.sec.gov/Archives/edgar/data/1326190/000119312518272896/d621454dex31.htm" TargetMode="External"/><Relationship Id="rId6" Type="http://schemas.openxmlformats.org/officeDocument/2006/relationships/hyperlink" Target="https://www.sec.gov/Archives/edgar/data/1326190/000119312518272896/d621454dex32.htm" TargetMode="External"/><Relationship Id="rId7" Type="http://schemas.openxmlformats.org/officeDocument/2006/relationships/hyperlink" Target="https://www.sec.gov/Archives/edgar/data/1326190/000132619026000027/alt-20260416xex3d1.htm" TargetMode="External"/><Relationship Id="rId8" Type="http://schemas.openxmlformats.org/officeDocument/2006/relationships/hyperlink" Target="https://www.sec.gov/Archives/edgar/data/1326190/000119312517312751/d470504dex32.htm" TargetMode="External"/><Relationship Id="rId9" Type="http://schemas.openxmlformats.org/officeDocument/2006/relationships/hyperlink" Target="https://www.sec.gov/Archives/edgar/data/1326190/000110465926048552/tm2612493d2_ex4-1.htm" TargetMode="External"/><Relationship Id="rId10" Type="http://schemas.openxmlformats.org/officeDocument/2006/relationships/hyperlink" Target="https://www.sec.gov/Archives/edgar/data/1326190/000110465926048552/tm2612493d2_ex4-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14963</Words>
  <Characters>81709</Characters>
  <CharactersWithSpaces>97893</CharactersWithSpaces>
  <Paragraphs>4184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