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96520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303"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88265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ALTIMMUNE,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316" w:lineRule="exact"/>
        <w:rPr>
          <w:sz w:val="24"/>
          <w:szCs w:val="24"/>
          <w:color w:val="auto"/>
        </w:rPr>
      </w:pPr>
    </w:p>
    <w:tbl>
      <w:tblPr>
        <w:tblLayout w:type="fixed"/>
        <w:tblInd w:w="380" w:type="dxa"/>
        <w:tblCellMar>
          <w:top w:w="0" w:type="dxa"/>
          <w:left w:w="0" w:type="dxa"/>
          <w:bottom w:w="0" w:type="dxa"/>
          <w:right w:w="0" w:type="dxa"/>
        </w:tblCellMar>
      </w:tblPr>
      <w:tr>
        <w:trPr>
          <w:trHeight w:val="214"/>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520" w:type="dxa"/>
            <w:vAlign w:val="bottom"/>
          </w:tcPr>
          <w:p>
            <w:pPr>
              <w:ind w:left="740"/>
              <w:spacing w:after="0"/>
              <w:rPr>
                <w:sz w:val="20"/>
                <w:szCs w:val="20"/>
                <w:color w:val="auto"/>
              </w:rPr>
            </w:pPr>
            <w:r>
              <w:rPr>
                <w:rFonts w:ascii="Times New Roman" w:cs="Times New Roman" w:eastAsia="Times New Roman" w:hAnsi="Times New Roman"/>
                <w:sz w:val="18"/>
                <w:szCs w:val="18"/>
                <w:b w:val="1"/>
                <w:bCs w:val="1"/>
                <w:color w:val="auto"/>
              </w:rPr>
              <w:t>001-32587</w:t>
            </w:r>
          </w:p>
        </w:tc>
        <w:tc>
          <w:tcPr>
            <w:tcW w:w="210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20-2726770</w:t>
            </w:r>
          </w:p>
        </w:tc>
      </w:tr>
      <w:tr>
        <w:trPr>
          <w:trHeight w:val="148"/>
        </w:trPr>
        <w:tc>
          <w:tcPr>
            <w:tcW w:w="3080" w:type="dxa"/>
            <w:vAlign w:val="bottom"/>
          </w:tcPr>
          <w:p>
            <w:pPr>
              <w:jc w:val="center"/>
              <w:ind w:right="6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ind w:left="7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100" w:type="dxa"/>
            <w:vAlign w:val="bottom"/>
          </w:tcPr>
          <w:p>
            <w:pPr>
              <w:jc w:val="center"/>
              <w:ind w:left="90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100" w:type="dxa"/>
            <w:vAlign w:val="bottom"/>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080" w:type="dxa"/>
            <w:vAlign w:val="bottom"/>
          </w:tcPr>
          <w:p>
            <w:pPr>
              <w:jc w:val="center"/>
              <w:ind w:right="639"/>
              <w:spacing w:after="0"/>
              <w:rPr>
                <w:sz w:val="20"/>
                <w:szCs w:val="20"/>
                <w:color w:val="auto"/>
              </w:rPr>
            </w:pPr>
            <w:r>
              <w:rPr>
                <w:rFonts w:ascii="Times New Roman" w:cs="Times New Roman" w:eastAsia="Times New Roman" w:hAnsi="Times New Roman"/>
                <w:sz w:val="18"/>
                <w:szCs w:val="18"/>
                <w:b w:val="1"/>
                <w:bCs w:val="1"/>
                <w:color w:val="auto"/>
                <w:w w:val="99"/>
              </w:rPr>
              <w:t>910 Clopper Road, Suite 201S</w:t>
            </w:r>
          </w:p>
        </w:tc>
        <w:tc>
          <w:tcPr>
            <w:tcW w:w="2520" w:type="dxa"/>
            <w:vAlign w:val="bottom"/>
          </w:tcPr>
          <w:p>
            <w:pPr>
              <w:spacing w:after="0"/>
              <w:rPr>
                <w:sz w:val="24"/>
                <w:szCs w:val="24"/>
                <w:color w:val="auto"/>
              </w:rPr>
            </w:pPr>
          </w:p>
        </w:tc>
        <w:tc>
          <w:tcPr>
            <w:tcW w:w="2100" w:type="dxa"/>
            <w:vAlign w:val="bottom"/>
          </w:tcPr>
          <w:p>
            <w:pPr>
              <w:spacing w:after="0"/>
              <w:rPr>
                <w:sz w:val="24"/>
                <w:szCs w:val="24"/>
                <w:color w:val="auto"/>
              </w:rPr>
            </w:pPr>
          </w:p>
        </w:tc>
      </w:tr>
      <w:tr>
        <w:trPr>
          <w:trHeight w:val="214"/>
        </w:trPr>
        <w:tc>
          <w:tcPr>
            <w:tcW w:w="3080" w:type="dxa"/>
            <w:vAlign w:val="bottom"/>
          </w:tcPr>
          <w:p>
            <w:pPr>
              <w:jc w:val="center"/>
              <w:ind w:right="619"/>
              <w:spacing w:after="0"/>
              <w:rPr>
                <w:sz w:val="20"/>
                <w:szCs w:val="20"/>
                <w:color w:val="auto"/>
              </w:rPr>
            </w:pPr>
            <w:r>
              <w:rPr>
                <w:rFonts w:ascii="Times New Roman" w:cs="Times New Roman" w:eastAsia="Times New Roman" w:hAnsi="Times New Roman"/>
                <w:sz w:val="18"/>
                <w:szCs w:val="18"/>
                <w:b w:val="1"/>
                <w:bCs w:val="1"/>
                <w:color w:val="auto"/>
                <w:w w:val="99"/>
              </w:rPr>
              <w:t>Gaithersburg, Maryland</w:t>
            </w:r>
          </w:p>
        </w:tc>
        <w:tc>
          <w:tcPr>
            <w:tcW w:w="2520" w:type="dxa"/>
            <w:vAlign w:val="bottom"/>
          </w:tcPr>
          <w:p>
            <w:pPr>
              <w:spacing w:after="0"/>
              <w:rPr>
                <w:sz w:val="18"/>
                <w:szCs w:val="18"/>
                <w:color w:val="auto"/>
              </w:rPr>
            </w:pPr>
          </w:p>
        </w:tc>
        <w:tc>
          <w:tcPr>
            <w:tcW w:w="210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20878</w:t>
            </w:r>
          </w:p>
        </w:tc>
      </w:tr>
      <w:tr>
        <w:trPr>
          <w:trHeight w:val="190"/>
        </w:trPr>
        <w:tc>
          <w:tcPr>
            <w:tcW w:w="3080" w:type="dxa"/>
            <w:vAlign w:val="bottom"/>
          </w:tcPr>
          <w:p>
            <w:pPr>
              <w:jc w:val="center"/>
              <w:ind w:right="6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100" w:type="dxa"/>
            <w:vAlign w:val="bottom"/>
          </w:tcPr>
          <w:p>
            <w:pPr>
              <w:jc w:val="center"/>
              <w:ind w:left="90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654-1450</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144780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1" w:lineRule="exact"/>
        <w:rPr>
          <w:sz w:val="24"/>
          <w:szCs w:val="24"/>
          <w:color w:val="auto"/>
        </w:rPr>
      </w:pPr>
    </w:p>
    <w:p>
      <w:pPr>
        <w:ind w:left="720" w:hanging="34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720" w:hanging="346"/>
        <w:spacing w:after="0"/>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720" w:right="579" w:hanging="346"/>
        <w:spacing w:after="0" w:line="249" w:lineRule="auto"/>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ind w:left="720" w:right="599" w:hanging="346"/>
        <w:spacing w:after="0" w:line="260" w:lineRule="auto"/>
        <w:tabs>
          <w:tab w:leader="none" w:pos="7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8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2" w:lineRule="exact"/>
        <w:rPr>
          <w:sz w:val="24"/>
          <w:szCs w:val="24"/>
          <w:color w:val="auto"/>
        </w:rPr>
      </w:pPr>
    </w:p>
    <w:tbl>
      <w:tblPr>
        <w:tblLayout w:type="fixed"/>
        <w:tblInd w:w="290" w:type="dxa"/>
        <w:tblCellMar>
          <w:top w:w="0" w:type="dxa"/>
          <w:left w:w="0" w:type="dxa"/>
          <w:bottom w:w="0" w:type="dxa"/>
          <w:right w:w="0" w:type="dxa"/>
        </w:tblCellMar>
      </w:tblPr>
      <w:tr>
        <w:trPr>
          <w:trHeight w:val="229"/>
        </w:trPr>
        <w:tc>
          <w:tcPr>
            <w:tcW w:w="3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5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 per share</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ALT</w:t>
            </w:r>
          </w:p>
        </w:tc>
        <w:tc>
          <w:tcPr>
            <w:tcW w:w="3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03" w:lineRule="exact"/>
        <w:rPr>
          <w:sz w:val="24"/>
          <w:szCs w:val="24"/>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608330</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93980</wp:posOffset>
            </wp:positionV>
            <wp:extent cx="565785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35" w:right="1440" w:bottom="1440" w:gutter="0" w:footer="0" w:header="0"/>
        </w:sectPr>
      </w:pPr>
    </w:p>
    <w:bookmarkStart w:id="1" w:name="page2"/>
    <w:bookmarkEnd w:id="1"/>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15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October 27, 2026, Altimmune, Inc. (the “Company”), has drawn $10.0 million in an aggregate principal amount (“Tranche Three”) from its $125.0 million Loan and Security Agreement, dated as of May 13, 2025 (as amended by the Amendment to Loan and Security Agreement, dated as of November 5, 2025, the “Loan Agreement”), with Hercules Capital, Inc., and other lenders party thereto, which amount was made available upon achievement of certain clinical and financial milestones and subject to other terms and conditions set out in the Loan Agreement (the “Tranche 3 Milestone”).</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a result of occurrence and satisfaction of the Tranche 3 Milestone, (i) the Amortization Date and interest-only period has been extended to June 1, 2028, and (ii) pursuant to the Minimum Cash covenant set forth in Section 7.19(a)(i) of the Loan Agreement, the Company shall maintain Qualified Cash in an amount greater than or equal to the outstanding principal amount of the Term Loan Advances multiplied by 60%. A Tranche Facility Charge of 1.0% has been netted from the Tranche Three funding, and the end of term charge remains at 6.25% of the amounts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1028065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44" w:right="1440" w:bottom="1440" w:gutter="0" w:footer="0" w:header="0"/>
        </w:sectPr>
      </w:pPr>
    </w:p>
    <w:bookmarkStart w:id="2" w:name="page3"/>
    <w:bookmarkEnd w:id="2"/>
    <w:p>
      <w:pPr>
        <w:ind w:left="43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11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ALTIMMUNE, INC.</w:t>
      </w:r>
    </w:p>
    <w:p>
      <w:pPr>
        <w:spacing w:after="0" w:line="229" w:lineRule="exact"/>
        <w:rPr>
          <w:sz w:val="20"/>
          <w:szCs w:val="20"/>
          <w:color w:val="auto"/>
        </w:rPr>
      </w:pPr>
    </w:p>
    <w:p>
      <w:pPr>
        <w:ind w:left="4480"/>
        <w:spacing w:after="0"/>
        <w:tabs>
          <w:tab w:leader="none" w:pos="5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Gregory Weaver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3220085</wp:posOffset>
            </wp:positionH>
            <wp:positionV relativeFrom="paragraph">
              <wp:posOffset>17145</wp:posOffset>
            </wp:positionV>
            <wp:extent cx="2460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60625" cy="8255"/>
                    </a:xfrm>
                    <a:prstGeom prst="rect">
                      <a:avLst/>
                    </a:prstGeom>
                    <a:noFill/>
                  </pic:spPr>
                </pic:pic>
              </a:graphicData>
            </a:graphic>
          </wp:anchor>
        </w:drawing>
      </w:r>
    </w:p>
    <w:p>
      <w:pPr>
        <w:spacing w:after="0" w:line="1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Name: Gregory Weaver</w:t>
      </w:r>
    </w:p>
    <w:p>
      <w:pPr>
        <w:spacing w:after="0" w:line="36"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October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2026-10-29T06:07:19Z</dcterms:created>
  <dcterms:modified xsi:type="dcterms:W3CDTF">2026-10-29T06:07:19Z</dcterms:modified>
</cp:coreProperties>
</file>