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13, 2026</w:t>
      </w:r>
    </w:p>
    <w:p>
      <w:pPr>
        <w:spacing w:after="0" w:line="137" w:lineRule="exact"/>
        <w:rPr>
          <w:sz w:val="24"/>
          <w:szCs w:val="24"/>
          <w:color w:val="auto"/>
        </w:rPr>
      </w:pPr>
    </w:p>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96520</wp:posOffset>
            </wp:positionV>
            <wp:extent cx="565785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-187960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S-8</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REGISTRATION STATEMENT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1270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ALTIMMUNE,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77" w:lineRule="exact"/>
        <w:rPr>
          <w:sz w:val="24"/>
          <w:szCs w:val="24"/>
          <w:color w:val="auto"/>
        </w:rPr>
      </w:pPr>
    </w:p>
    <w:tbl>
      <w:tblPr>
        <w:tblLayout w:type="fixed"/>
        <w:tblInd w:w="900" w:type="dxa"/>
        <w:tblCellMar>
          <w:top w:w="0" w:type="dxa"/>
          <w:left w:w="0" w:type="dxa"/>
          <w:bottom w:w="0" w:type="dxa"/>
          <w:right w:w="0" w:type="dxa"/>
        </w:tblCellMar>
      </w:tblPr>
      <w:tr>
        <w:trPr>
          <w:trHeight w:val="200"/>
        </w:trPr>
        <w:tc>
          <w:tcPr>
            <w:tcW w:w="3940" w:type="dxa"/>
            <w:vAlign w:val="bottom"/>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5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20-2726770</w:t>
            </w:r>
          </w:p>
        </w:tc>
      </w:tr>
      <w:tr>
        <w:trPr>
          <w:trHeight w:val="200"/>
        </w:trPr>
        <w:tc>
          <w:tcPr>
            <w:tcW w:w="3940" w:type="dxa"/>
            <w:vAlign w:val="bottom"/>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w:t>
            </w:r>
          </w:p>
        </w:tc>
        <w:tc>
          <w:tcPr>
            <w:tcW w:w="2560" w:type="dxa"/>
            <w:vAlign w:val="bottom"/>
          </w:tcPr>
          <w:p>
            <w:pPr>
              <w:jc w:val="center"/>
              <w:ind w:left="1200"/>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1"/>
        </w:trPr>
        <w:tc>
          <w:tcPr>
            <w:tcW w:w="3940" w:type="dxa"/>
            <w:vAlign w:val="bottom"/>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2560" w:type="dxa"/>
            <w:vAlign w:val="bottom"/>
          </w:tcPr>
          <w:p>
            <w:pPr>
              <w:jc w:val="center"/>
              <w:ind w:left="1220"/>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10"/>
        </w:trPr>
        <w:tc>
          <w:tcPr>
            <w:tcW w:w="3940" w:type="dxa"/>
            <w:vAlign w:val="bottom"/>
          </w:tcPr>
          <w:p>
            <w:pPr>
              <w:jc w:val="center"/>
              <w:ind w:right="1220"/>
              <w:spacing w:after="0"/>
              <w:rPr>
                <w:sz w:val="20"/>
                <w:szCs w:val="20"/>
                <w:color w:val="auto"/>
              </w:rPr>
            </w:pPr>
            <w:r>
              <w:rPr>
                <w:rFonts w:ascii="Times New Roman" w:cs="Times New Roman" w:eastAsia="Times New Roman" w:hAnsi="Times New Roman"/>
                <w:sz w:val="16"/>
                <w:szCs w:val="16"/>
                <w:b w:val="1"/>
                <w:bCs w:val="1"/>
                <w:color w:val="auto"/>
                <w:w w:val="99"/>
              </w:rPr>
              <w:t>910 Clopper Road Suite 201S</w:t>
            </w:r>
          </w:p>
        </w:tc>
        <w:tc>
          <w:tcPr>
            <w:tcW w:w="2560" w:type="dxa"/>
            <w:vAlign w:val="bottom"/>
          </w:tcPr>
          <w:p>
            <w:pPr>
              <w:spacing w:after="0"/>
              <w:rPr>
                <w:sz w:val="24"/>
                <w:szCs w:val="24"/>
                <w:color w:val="auto"/>
              </w:rPr>
            </w:pPr>
          </w:p>
        </w:tc>
      </w:tr>
      <w:tr>
        <w:trPr>
          <w:trHeight w:val="200"/>
        </w:trPr>
        <w:tc>
          <w:tcPr>
            <w:tcW w:w="3940" w:type="dxa"/>
            <w:vAlign w:val="bottom"/>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Gaithersburg, Maryland</w:t>
            </w:r>
          </w:p>
        </w:tc>
        <w:tc>
          <w:tcPr>
            <w:tcW w:w="256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20878</w:t>
            </w:r>
          </w:p>
        </w:tc>
      </w:tr>
      <w:tr>
        <w:trPr>
          <w:trHeight w:val="211"/>
        </w:trPr>
        <w:tc>
          <w:tcPr>
            <w:tcW w:w="3940" w:type="dxa"/>
            <w:vAlign w:val="bottom"/>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560" w:type="dxa"/>
            <w:vAlign w:val="bottom"/>
          </w:tcPr>
          <w:p>
            <w:pPr>
              <w:jc w:val="center"/>
              <w:ind w:left="122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ALTIMMUNE,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2019 EMPLOYEE STOCK PURCHASE PLAN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13970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Jerome Durso</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Altimmune, Inc.</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910 Clopper Road, Suite 201S</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Gaithersburg, Maryland</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Telephone: (240) 654-1450</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13970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Joseph Theis, Jr.</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Justin Anslow</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Goodwin Procter LLP</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 Northern Ave</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Boston, MA 02210</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Telephone: (617)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13970</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81" w:lineRule="exact"/>
        <w:rPr>
          <w:sz w:val="24"/>
          <w:szCs w:val="24"/>
          <w:color w:val="auto"/>
        </w:rPr>
      </w:pPr>
    </w:p>
    <w:p>
      <w:pPr>
        <w:ind w:left="40" w:right="59"/>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5" w:lineRule="exact"/>
        <w:rPr>
          <w:sz w:val="24"/>
          <w:szCs w:val="24"/>
          <w:color w:val="auto"/>
        </w:rPr>
      </w:pPr>
    </w:p>
    <w:tbl>
      <w:tblPr>
        <w:tblLayout w:type="fixed"/>
        <w:tblInd w:w="40" w:type="dxa"/>
        <w:tblCellMar>
          <w:top w:w="0" w:type="dxa"/>
          <w:left w:w="0" w:type="dxa"/>
          <w:bottom w:w="0" w:type="dxa"/>
          <w:right w:w="0" w:type="dxa"/>
        </w:tblCellMar>
      </w:tblPr>
      <w:tr>
        <w:trPr>
          <w:trHeight w:val="271"/>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4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32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Accelerated filer</w:t>
            </w:r>
          </w:p>
        </w:tc>
        <w:tc>
          <w:tcPr>
            <w:tcW w:w="24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1"/>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40" w:type="dxa"/>
            <w:vAlign w:val="bottom"/>
          </w:tcPr>
          <w:p>
            <w:pPr>
              <w:ind w:left="80"/>
              <w:spacing w:after="0"/>
              <w:rPr>
                <w:sz w:val="20"/>
                <w:szCs w:val="20"/>
                <w:color w:val="auto"/>
              </w:rPr>
            </w:pPr>
            <w:r>
              <w:rPr>
                <w:rFonts w:ascii="Wingdings" w:cs="Wingdings" w:eastAsia="Wingdings" w:hAnsi="Wingdings"/>
                <w:sz w:val="16"/>
                <w:szCs w:val="16"/>
                <w:b w:val="1"/>
                <w:bCs w:val="1"/>
                <w:color w:val="auto"/>
              </w:rPr>
              <w:t>x</w:t>
            </w:r>
          </w:p>
        </w:tc>
        <w:tc>
          <w:tcPr>
            <w:tcW w:w="432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40" w:type="dxa"/>
            <w:vAlign w:val="bottom"/>
          </w:tcPr>
          <w:p>
            <w:pPr>
              <w:ind w:left="80"/>
              <w:spacing w:after="0"/>
              <w:rPr>
                <w:sz w:val="20"/>
                <w:szCs w:val="20"/>
                <w:color w:val="auto"/>
              </w:rPr>
            </w:pPr>
            <w:r>
              <w:rPr>
                <w:rFonts w:ascii="Wingdings" w:cs="Wingdings" w:eastAsia="Wingdings" w:hAnsi="Wingdings"/>
                <w:sz w:val="16"/>
                <w:szCs w:val="16"/>
                <w:b w:val="1"/>
                <w:bCs w:val="1"/>
                <w:color w:val="auto"/>
                <w:w w:val="82"/>
              </w:rPr>
              <w:t>x</w:t>
            </w:r>
          </w:p>
        </w:tc>
      </w:tr>
      <w:tr>
        <w:trPr>
          <w:trHeight w:val="330"/>
        </w:trPr>
        <w:tc>
          <w:tcPr>
            <w:tcW w:w="15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32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Emerging growth company</w:t>
            </w:r>
          </w:p>
        </w:tc>
        <w:tc>
          <w:tcPr>
            <w:tcW w:w="24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87"/>
              </w:rPr>
              <w:t>☐</w:t>
            </w:r>
          </w:p>
        </w:tc>
      </w:tr>
    </w:tbl>
    <w:p>
      <w:pPr>
        <w:ind w:left="40" w:right="51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495935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-12065</wp:posOffset>
            </wp:positionV>
            <wp:extent cx="5657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38100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ind w:left="200" w:right="219" w:firstLine="436"/>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Registration Statement on Form S-8 registers an additional 705,327 shares of the Registrant’s common stock, $0.0001 par value per share (“Common Stock”) under the Altimmune, Inc. 2019 Employee Stock Purchase Plan, as amended (the “2019 ESPP”). The additional shares are of the same class as other securities relating to the 2019 ESPP for which the Registrant’s registration statement filed on Form S-8 filed with the Securities and Exchange Commission on April 4, 2019 (Registration No. </w:t>
      </w:r>
      <w:hyperlink r:id="rId18">
        <w:r>
          <w:rPr>
            <w:rFonts w:ascii="Times New Roman" w:cs="Times New Roman" w:eastAsia="Times New Roman" w:hAnsi="Times New Roman"/>
            <w:sz w:val="17"/>
            <w:szCs w:val="17"/>
            <w:u w:val="single" w:color="auto"/>
            <w:color w:val="0000EE"/>
          </w:rPr>
          <w:t>333-230722</w:t>
        </w:r>
      </w:hyperlink>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is effective. The information contained in the Registration Statement is hereby incorporated by reference pursuant to General Instruction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595630</wp:posOffset>
            </wp:positionV>
            <wp:extent cx="54540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4" w:lineRule="exact"/>
        <w:rPr>
          <w:sz w:val="20"/>
          <w:szCs w:val="20"/>
          <w:color w:val="auto"/>
        </w:rPr>
      </w:pPr>
    </w:p>
    <w:p>
      <w:pPr>
        <w:ind w:left="200" w:right="359"/>
        <w:spacing w:after="0" w:line="277" w:lineRule="auto"/>
        <w:rPr>
          <w:sz w:val="20"/>
          <w:szCs w:val="20"/>
          <w:color w:val="auto"/>
        </w:rPr>
      </w:pPr>
      <w:r>
        <w:rPr>
          <w:rFonts w:ascii="Times New Roman" w:cs="Times New Roman" w:eastAsia="Times New Roman" w:hAnsi="Times New Roman"/>
          <w:sz w:val="18"/>
          <w:szCs w:val="18"/>
          <w:color w:val="auto"/>
        </w:rPr>
        <w:t>See the Exhibit Index below for a list of exhibits filed as part of this registration statement on Form S-8, which Exhibit Index is incorporated herein by reference.</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20" w:type="dxa"/>
            <w:vAlign w:val="bottom"/>
            <w:gridSpan w:val="15"/>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8"/>
        </w:trPr>
        <w:tc>
          <w:tcPr>
            <w:tcW w:w="7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gridSpan w:val="15"/>
          </w:tcPr>
          <w:p>
            <w:pPr>
              <w:ind w:left="10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Amended and Restated Certificate of Incorporation of the Registrant (incorporated by reference to the</w:t>
              </w:r>
            </w:hyperlink>
          </w:p>
        </w:tc>
        <w:tc>
          <w:tcPr>
            <w:tcW w:w="480" w:type="dxa"/>
            <w:vAlign w:val="bottom"/>
            <w:gridSpan w:val="6"/>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580" w:type="dxa"/>
            <w:vAlign w:val="bottom"/>
            <w:tcBorders>
              <w:bottom w:val="single" w:sz="8" w:color="0000EE"/>
            </w:tcBorders>
            <w:gridSpan w:val="16"/>
          </w:tcPr>
          <w:p>
            <w:pPr>
              <w:spacing w:after="0" w:line="194"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Current Report on Form 8-K (File No. 001-32587) filed with the Securities and Exchange Commission on</w:t>
              </w:r>
            </w:hyperlink>
          </w:p>
        </w:tc>
        <w:tc>
          <w:tcPr>
            <w:tcW w:w="180" w:type="dxa"/>
            <w:vAlign w:val="bottom"/>
            <w:gridSpan w:val="3"/>
          </w:tcPr>
          <w:p>
            <w:pPr>
              <w:spacing w:after="0"/>
              <w:rPr>
                <w:sz w:val="16"/>
                <w:szCs w:val="16"/>
                <w:color w:val="auto"/>
              </w:rPr>
            </w:pPr>
          </w:p>
        </w:tc>
      </w:tr>
      <w:tr>
        <w:trPr>
          <w:trHeight w:val="194"/>
        </w:trPr>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October 18, 2017).</w:t>
              </w:r>
            </w:hyperlink>
          </w:p>
        </w:tc>
        <w:tc>
          <w:tcPr>
            <w:tcW w:w="6400" w:type="dxa"/>
            <w:vAlign w:val="bottom"/>
            <w:gridSpan w:val="16"/>
          </w:tcPr>
          <w:p>
            <w:pPr>
              <w:spacing w:after="0"/>
              <w:rPr>
                <w:sz w:val="16"/>
                <w:szCs w:val="16"/>
                <w:color w:val="auto"/>
              </w:rPr>
            </w:pPr>
          </w:p>
        </w:tc>
      </w:tr>
      <w:tr>
        <w:trPr>
          <w:trHeight w:val="4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60" w:type="dxa"/>
            <w:vAlign w:val="bottom"/>
            <w:gridSpan w:val="19"/>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Certificate of Amendment to Amended and Restated Certificate of Incorporation regarding a reverse stock</w:t>
              </w:r>
            </w:hyperlink>
          </w:p>
        </w:tc>
      </w:tr>
      <w:tr>
        <w:trPr>
          <w:trHeight w:val="194"/>
        </w:trPr>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580" w:type="dxa"/>
            <w:vAlign w:val="bottom"/>
            <w:tcBorders>
              <w:top w:val="single" w:sz="8" w:color="0000EE"/>
            </w:tcBorders>
            <w:gridSpan w:val="16"/>
          </w:tcPr>
          <w:p>
            <w:pPr>
              <w:spacing w:after="0" w:line="194"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split (incorporated by reference to the Current Report on Form 8-K (File No. 001-32587) filed with the</w:t>
              </w:r>
            </w:hyperlink>
          </w:p>
        </w:tc>
        <w:tc>
          <w:tcPr>
            <w:tcW w:w="180" w:type="dxa"/>
            <w:vAlign w:val="bottom"/>
            <w:gridSpan w:val="3"/>
          </w:tcPr>
          <w:p>
            <w:pPr>
              <w:spacing w:after="0"/>
              <w:rPr>
                <w:sz w:val="16"/>
                <w:szCs w:val="16"/>
                <w:color w:val="auto"/>
              </w:rPr>
            </w:pPr>
          </w:p>
        </w:tc>
      </w:tr>
      <w:tr>
        <w:trPr>
          <w:trHeight w:val="194"/>
        </w:trPr>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340" w:type="dxa"/>
            <w:vAlign w:val="bottom"/>
            <w:tcBorders>
              <w:top w:val="single" w:sz="8" w:color="0000EE"/>
            </w:tcBorders>
            <w:gridSpan w:val="14"/>
          </w:tcPr>
          <w:p>
            <w:pPr>
              <w:spacing w:after="0" w:line="194"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Securities and Exchange Commission on September 13, 2018).</w:t>
              </w:r>
            </w:hyperlink>
          </w:p>
        </w:tc>
        <w:tc>
          <w:tcPr>
            <w:tcW w:w="420" w:type="dxa"/>
            <w:vAlign w:val="bottom"/>
            <w:gridSpan w:val="5"/>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60" w:type="dxa"/>
            <w:vAlign w:val="bottom"/>
            <w:gridSpan w:val="19"/>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Certificate of Amendment to Amended and Restated Certificate of Incorporation regarding an increase in</w:t>
              </w:r>
            </w:hyperlink>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60" w:type="dxa"/>
            <w:vAlign w:val="bottom"/>
            <w:tcBorders>
              <w:bottom w:val="single" w:sz="8" w:color="0000EE"/>
            </w:tcBorders>
            <w:gridSpan w:val="18"/>
          </w:tcPr>
          <w:p>
            <w:pPr>
              <w:spacing w:after="0" w:line="194" w:lineRule="exact"/>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authorized shares (incorporated by reference to the Current Report on Form 8-K (File No. 001-32587) filed</w:t>
              </w:r>
            </w:hyperlink>
          </w:p>
        </w:tc>
        <w:tc>
          <w:tcPr>
            <w:tcW w:w="100" w:type="dxa"/>
            <w:vAlign w:val="bottom"/>
          </w:tcPr>
          <w:p>
            <w:pPr>
              <w:spacing w:after="0"/>
              <w:rPr>
                <w:sz w:val="16"/>
                <w:szCs w:val="16"/>
                <w:color w:val="auto"/>
              </w:rPr>
            </w:pPr>
          </w:p>
        </w:tc>
      </w:tr>
      <w:tr>
        <w:trPr>
          <w:trHeight w:val="194"/>
        </w:trPr>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60" w:type="dxa"/>
            <w:vAlign w:val="bottom"/>
            <w:gridSpan w:val="19"/>
          </w:tcPr>
          <w:p>
            <w:pPr>
              <w:spacing w:after="0" w:line="194"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with the Securities and Exchange Commission on September 13, 2018).</w:t>
              </w:r>
            </w:hyperlink>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60" w:type="dxa"/>
            <w:vAlign w:val="bottom"/>
            <w:gridSpan w:val="19"/>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Certificate of Amendment to Amended and Restated Certificate of Incorporation regarding an increase in</w:t>
              </w:r>
            </w:hyperlink>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4"/>
        </w:trPr>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60" w:type="dxa"/>
            <w:vAlign w:val="bottom"/>
            <w:tcBorders>
              <w:bottom w:val="single" w:sz="8" w:color="0000EE"/>
            </w:tcBorders>
            <w:gridSpan w:val="18"/>
          </w:tcPr>
          <w:p>
            <w:pPr>
              <w:spacing w:after="0" w:line="194" w:lineRule="exact"/>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authorized shares (incorporated by reference to the Current Report on Form 8-K (File No. 001-32587) filed</w:t>
              </w:r>
            </w:hyperlink>
          </w:p>
        </w:tc>
        <w:tc>
          <w:tcPr>
            <w:tcW w:w="100" w:type="dxa"/>
            <w:vAlign w:val="bottom"/>
          </w:tcPr>
          <w:p>
            <w:pPr>
              <w:spacing w:after="0"/>
              <w:rPr>
                <w:sz w:val="16"/>
                <w:szCs w:val="16"/>
                <w:color w:val="auto"/>
              </w:rPr>
            </w:pPr>
          </w:p>
        </w:tc>
      </w:tr>
      <w:tr>
        <w:trPr>
          <w:trHeight w:val="194"/>
        </w:trPr>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60" w:type="dxa"/>
            <w:vAlign w:val="bottom"/>
            <w:gridSpan w:val="19"/>
          </w:tcPr>
          <w:p>
            <w:pPr>
              <w:spacing w:after="0" w:line="194"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with the Securities and Exchange Commission on April 16, 2026)</w:t>
              </w:r>
              <w:r>
                <w:rPr>
                  <w:rFonts w:ascii="Times New Roman" w:cs="Times New Roman" w:eastAsia="Times New Roman" w:hAnsi="Times New Roman"/>
                  <w:sz w:val="18"/>
                  <w:szCs w:val="18"/>
                  <w:color w:val="000000"/>
                </w:rPr>
                <w:t>.</w:t>
              </w:r>
            </w:hyperlink>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Amended and Restated Bylaws of the Registrant (incorporated by reference to the Current Report on Form</w:t>
              </w:r>
            </w:hyperlink>
          </w:p>
        </w:tc>
        <w:tc>
          <w:tcPr>
            <w:tcW w:w="140" w:type="dxa"/>
            <w:vAlign w:val="bottom"/>
            <w:gridSpan w:val="2"/>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8-K (File No. 001-32587) filed with the Securities and Exchange Commission on October 18, 2017).</w:t>
              </w:r>
            </w:hyperlink>
          </w:p>
        </w:tc>
        <w:tc>
          <w:tcPr>
            <w:tcW w:w="560" w:type="dxa"/>
            <w:vAlign w:val="bottom"/>
            <w:gridSpan w:val="7"/>
          </w:tcPr>
          <w:p>
            <w:pPr>
              <w:spacing w:after="0"/>
              <w:rPr>
                <w:sz w:val="16"/>
                <w:szCs w:val="16"/>
                <w:color w:val="auto"/>
              </w:rPr>
            </w:pPr>
          </w:p>
        </w:tc>
      </w:tr>
      <w:tr>
        <w:trPr>
          <w:trHeight w:val="407"/>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Opinion of Goodwin Procter LLP.</w:t>
            </w:r>
          </w:p>
        </w:tc>
        <w:tc>
          <w:tcPr>
            <w:tcW w:w="5320" w:type="dxa"/>
            <w:vAlign w:val="bottom"/>
            <w:gridSpan w:val="15"/>
          </w:tcPr>
          <w:p>
            <w:pPr>
              <w:spacing w:after="0"/>
              <w:rPr>
                <w:sz w:val="24"/>
                <w:szCs w:val="24"/>
                <w:color w:val="auto"/>
              </w:rPr>
            </w:pPr>
          </w:p>
        </w:tc>
      </w:tr>
      <w:tr>
        <w:trPr>
          <w:trHeight w:val="407"/>
        </w:trPr>
        <w:tc>
          <w:tcPr>
            <w:tcW w:w="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 accounting firm.</w:t>
            </w:r>
          </w:p>
        </w:tc>
        <w:tc>
          <w:tcPr>
            <w:tcW w:w="2100" w:type="dxa"/>
            <w:vAlign w:val="bottom"/>
            <w:gridSpan w:val="9"/>
          </w:tcPr>
          <w:p>
            <w:pPr>
              <w:spacing w:after="0"/>
              <w:rPr>
                <w:sz w:val="24"/>
                <w:szCs w:val="24"/>
                <w:color w:val="auto"/>
              </w:rPr>
            </w:pPr>
          </w:p>
        </w:tc>
      </w:tr>
      <w:tr>
        <w:trPr>
          <w:trHeight w:val="407"/>
        </w:trPr>
        <w:tc>
          <w:tcPr>
            <w:tcW w:w="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Consent of Goodwin Procter LLP (included in Exhibit 5.1).</w:t>
            </w:r>
          </w:p>
        </w:tc>
        <w:tc>
          <w:tcPr>
            <w:tcW w:w="3500" w:type="dxa"/>
            <w:vAlign w:val="bottom"/>
            <w:gridSpan w:val="13"/>
          </w:tcPr>
          <w:p>
            <w:pPr>
              <w:spacing w:after="0"/>
              <w:rPr>
                <w:sz w:val="24"/>
                <w:szCs w:val="24"/>
                <w:color w:val="auto"/>
              </w:rPr>
            </w:pPr>
          </w:p>
        </w:tc>
      </w:tr>
      <w:tr>
        <w:trPr>
          <w:trHeight w:val="407"/>
        </w:trPr>
        <w:tc>
          <w:tcPr>
            <w:tcW w:w="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24.</w:t>
            </w:r>
            <w:r>
              <w:rPr>
                <w:rFonts w:ascii="Times New Roman" w:cs="Times New Roman" w:eastAsia="Times New Roman" w:hAnsi="Times New Roman"/>
                <w:sz w:val="18"/>
                <w:szCs w:val="18"/>
                <w:u w:val="single" w:color="auto"/>
                <w:color w:val="0000EE"/>
                <w:w w:val="93"/>
              </w:rPr>
              <w:t>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Power of Attorney (included on signature page).</w:t>
            </w:r>
          </w:p>
        </w:tc>
        <w:tc>
          <w:tcPr>
            <w:tcW w:w="4300" w:type="dxa"/>
            <w:vAlign w:val="bottom"/>
            <w:gridSpan w:val="14"/>
          </w:tcPr>
          <w:p>
            <w:pPr>
              <w:spacing w:after="0"/>
              <w:rPr>
                <w:sz w:val="24"/>
                <w:szCs w:val="24"/>
                <w:color w:val="auto"/>
              </w:rPr>
            </w:pPr>
          </w:p>
        </w:tc>
      </w:tr>
      <w:tr>
        <w:trPr>
          <w:trHeight w:val="4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99.1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60" w:type="dxa"/>
            <w:vAlign w:val="bottom"/>
            <w:gridSpan w:val="19"/>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2019 Employee Stock Purchase Plan (incorporated by reference to the Registration Statement on Form S-8</w:t>
              </w:r>
            </w:hyperlink>
          </w:p>
        </w:tc>
      </w:tr>
      <w:tr>
        <w:trPr>
          <w:trHeight w:val="194"/>
        </w:trPr>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80" w:type="dxa"/>
            <w:vAlign w:val="bottom"/>
            <w:tcBorders>
              <w:top w:val="single" w:sz="8" w:color="0000EE"/>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(File No. 333-230722) filed with the Securities and Exchange Commission on April 4, 2019).</w:t>
              </w:r>
            </w:hyperlink>
          </w:p>
        </w:tc>
        <w:tc>
          <w:tcPr>
            <w:tcW w:w="940" w:type="dxa"/>
            <w:vAlign w:val="bottom"/>
            <w:tcBorders>
              <w:top w:val="single" w:sz="8" w:color="0000EE"/>
            </w:tcBorders>
            <w:gridSpan w:val="6"/>
          </w:tcPr>
          <w:p>
            <w:pPr>
              <w:spacing w:after="0"/>
              <w:rPr>
                <w:sz w:val="16"/>
                <w:szCs w:val="16"/>
                <w:color w:val="auto"/>
              </w:rPr>
            </w:pPr>
          </w:p>
        </w:tc>
        <w:tc>
          <w:tcPr>
            <w:tcW w:w="140" w:type="dxa"/>
            <w:vAlign w:val="bottom"/>
            <w:gridSpan w:val="2"/>
          </w:tcPr>
          <w:p>
            <w:pPr>
              <w:spacing w:after="0"/>
              <w:rPr>
                <w:sz w:val="16"/>
                <w:szCs w:val="16"/>
                <w:color w:val="auto"/>
              </w:rPr>
            </w:pPr>
          </w:p>
        </w:tc>
      </w:tr>
      <w:tr>
        <w:trPr>
          <w:trHeight w:val="407"/>
        </w:trPr>
        <w:tc>
          <w:tcPr>
            <w:tcW w:w="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4"/>
              </w:rPr>
              <w:t>107*</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6580" w:type="dxa"/>
            <w:vAlign w:val="bottom"/>
            <w:gridSpan w:val="17"/>
          </w:tcPr>
          <w:p>
            <w:pPr>
              <w:spacing w:after="0"/>
              <w:rPr>
                <w:sz w:val="24"/>
                <w:szCs w:val="24"/>
                <w:color w:val="auto"/>
              </w:rPr>
            </w:pPr>
          </w:p>
        </w:tc>
      </w:tr>
    </w:tbl>
    <w:p>
      <w:pPr>
        <w:spacing w:after="0" w:line="235" w:lineRule="exact"/>
        <w:rPr>
          <w:sz w:val="20"/>
          <w:szCs w:val="20"/>
          <w:color w:val="auto"/>
        </w:rPr>
      </w:pPr>
    </w:p>
    <w:p>
      <w:pPr>
        <w:ind w:left="540" w:hanging="319"/>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635000</wp:posOffset>
            </wp:positionV>
            <wp:extent cx="54540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1" w:lineRule="exact"/>
        <w:rPr>
          <w:sz w:val="20"/>
          <w:szCs w:val="20"/>
          <w:color w:val="auto"/>
        </w:rPr>
      </w:pPr>
    </w:p>
    <w:p>
      <w:pPr>
        <w:ind w:left="200" w:right="319"/>
        <w:spacing w:after="0" w:line="25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Gaithersburg, State of Maryland, on the 13th day of May, 2026.</w:t>
      </w:r>
    </w:p>
    <w:p>
      <w:pPr>
        <w:spacing w:after="0" w:line="1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1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/s/ Jerome Durso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15875</wp:posOffset>
            </wp:positionV>
            <wp:extent cx="16198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Jerome Durso</w:t>
      </w:r>
    </w:p>
    <w:p>
      <w:pPr>
        <w:spacing w:after="0" w:line="2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4" w:lineRule="exact"/>
        <w:rPr>
          <w:sz w:val="20"/>
          <w:szCs w:val="20"/>
          <w:color w:val="auto"/>
        </w:rPr>
      </w:pPr>
    </w:p>
    <w:p>
      <w:pPr>
        <w:ind w:left="200" w:right="219"/>
        <w:spacing w:after="0" w:line="268" w:lineRule="auto"/>
        <w:rPr>
          <w:sz w:val="20"/>
          <w:szCs w:val="20"/>
          <w:color w:val="auto"/>
        </w:rPr>
      </w:pPr>
      <w:r>
        <w:rPr>
          <w:rFonts w:ascii="Times New Roman" w:cs="Times New Roman" w:eastAsia="Times New Roman" w:hAnsi="Times New Roman"/>
          <w:sz w:val="17"/>
          <w:szCs w:val="17"/>
          <w:color w:val="auto"/>
        </w:rPr>
        <w:t>KNOW ALL BY THESE PRESENT, that each individual whose signature appears below hereby constitutes and appoints each of Jerome Durso and Gregory Weaver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06" w:lineRule="exact"/>
        <w:rPr>
          <w:sz w:val="20"/>
          <w:szCs w:val="20"/>
          <w:color w:val="auto"/>
        </w:rPr>
      </w:pPr>
    </w:p>
    <w:p>
      <w:pPr>
        <w:ind w:left="200" w:right="339"/>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 in the capacities and on the date indicated.</w:t>
      </w:r>
    </w:p>
    <w:p>
      <w:pPr>
        <w:spacing w:after="0" w:line="112" w:lineRule="exact"/>
        <w:rPr>
          <w:sz w:val="20"/>
          <w:szCs w:val="20"/>
          <w:color w:val="auto"/>
        </w:rPr>
      </w:pPr>
    </w:p>
    <w:tbl>
      <w:tblPr>
        <w:tblLayout w:type="fixed"/>
        <w:tblInd w:w="200" w:type="dxa"/>
        <w:tblCellMar>
          <w:top w:w="0" w:type="dxa"/>
          <w:left w:w="0" w:type="dxa"/>
          <w:bottom w:w="0" w:type="dxa"/>
          <w:right w:w="0" w:type="dxa"/>
        </w:tblCellMar>
      </w:tblPr>
      <w:tr>
        <w:trPr>
          <w:trHeight w:val="211"/>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0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Jerome Durso</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Chairman of the Board of Directors, President and Chief</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13, 2026</w:t>
            </w:r>
          </w:p>
        </w:tc>
        <w:tc>
          <w:tcPr>
            <w:tcW w:w="0" w:type="dxa"/>
            <w:vAlign w:val="bottom"/>
          </w:tcPr>
          <w:p>
            <w:pPr>
              <w:spacing w:after="0"/>
              <w:rPr>
                <w:sz w:val="1"/>
                <w:szCs w:val="1"/>
                <w:color w:val="auto"/>
              </w:rPr>
            </w:pPr>
          </w:p>
        </w:tc>
      </w:tr>
      <w:tr>
        <w:trPr>
          <w:trHeight w:val="170"/>
        </w:trPr>
        <w:tc>
          <w:tcPr>
            <w:tcW w:w="316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rPr>
              <w:t>Jerome Durso</w:t>
            </w:r>
          </w:p>
        </w:tc>
        <w:tc>
          <w:tcPr>
            <w:tcW w:w="4080" w:type="dxa"/>
            <w:vAlign w:val="bottom"/>
          </w:tcPr>
          <w:p>
            <w:pPr>
              <w:ind w:left="1560"/>
              <w:spacing w:after="0" w:line="170" w:lineRule="exact"/>
              <w:rPr>
                <w:sz w:val="20"/>
                <w:szCs w:val="20"/>
                <w:color w:val="auto"/>
              </w:rPr>
            </w:pPr>
            <w:r>
              <w:rPr>
                <w:rFonts w:ascii="Times New Roman" w:cs="Times New Roman" w:eastAsia="Times New Roman" w:hAnsi="Times New Roman"/>
                <w:sz w:val="16"/>
                <w:szCs w:val="16"/>
                <w:color w:val="auto"/>
              </w:rPr>
              <w:t>Executive Officer</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1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Gregory Weaver</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13, 2026</w:t>
            </w:r>
          </w:p>
        </w:tc>
        <w:tc>
          <w:tcPr>
            <w:tcW w:w="0" w:type="dxa"/>
            <w:vAlign w:val="bottom"/>
          </w:tcPr>
          <w:p>
            <w:pPr>
              <w:spacing w:after="0"/>
              <w:rPr>
                <w:sz w:val="1"/>
                <w:szCs w:val="1"/>
                <w:color w:val="auto"/>
              </w:rPr>
            </w:pPr>
          </w:p>
        </w:tc>
      </w:tr>
      <w:tr>
        <w:trPr>
          <w:trHeight w:val="208"/>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Gregory Weaver</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John Gill</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13, 2026</w:t>
            </w:r>
          </w:p>
        </w:tc>
        <w:tc>
          <w:tcPr>
            <w:tcW w:w="0" w:type="dxa"/>
            <w:vAlign w:val="bottom"/>
          </w:tcPr>
          <w:p>
            <w:pPr>
              <w:spacing w:after="0"/>
              <w:rPr>
                <w:sz w:val="1"/>
                <w:szCs w:val="1"/>
                <w:color w:val="auto"/>
              </w:rPr>
            </w:pPr>
          </w:p>
        </w:tc>
      </w:tr>
      <w:tr>
        <w:trPr>
          <w:trHeight w:val="205"/>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John Gill</w:t>
            </w:r>
          </w:p>
        </w:tc>
        <w:tc>
          <w:tcPr>
            <w:tcW w:w="4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Philip Hodges</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13, 2026</w:t>
            </w:r>
          </w:p>
        </w:tc>
        <w:tc>
          <w:tcPr>
            <w:tcW w:w="0" w:type="dxa"/>
            <w:vAlign w:val="bottom"/>
          </w:tcPr>
          <w:p>
            <w:pPr>
              <w:spacing w:after="0"/>
              <w:rPr>
                <w:sz w:val="1"/>
                <w:szCs w:val="1"/>
                <w:color w:val="auto"/>
              </w:rPr>
            </w:pPr>
          </w:p>
        </w:tc>
      </w:tr>
      <w:tr>
        <w:trPr>
          <w:trHeight w:val="205"/>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Philip Hodges</w:t>
            </w:r>
          </w:p>
        </w:tc>
        <w:tc>
          <w:tcPr>
            <w:tcW w:w="4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Diane Jorkasky, M.D.</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13, 2026</w:t>
            </w:r>
          </w:p>
        </w:tc>
        <w:tc>
          <w:tcPr>
            <w:tcW w:w="0" w:type="dxa"/>
            <w:vAlign w:val="bottom"/>
          </w:tcPr>
          <w:p>
            <w:pPr>
              <w:spacing w:after="0"/>
              <w:rPr>
                <w:sz w:val="1"/>
                <w:szCs w:val="1"/>
                <w:color w:val="auto"/>
              </w:rPr>
            </w:pPr>
          </w:p>
        </w:tc>
      </w:tr>
      <w:tr>
        <w:trPr>
          <w:trHeight w:val="205"/>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Diane Jorkasky, M.D.</w:t>
            </w:r>
          </w:p>
        </w:tc>
        <w:tc>
          <w:tcPr>
            <w:tcW w:w="4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Teri Lawver</w:t>
            </w:r>
          </w:p>
        </w:tc>
        <w:tc>
          <w:tcPr>
            <w:tcW w:w="4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13, 2026</w:t>
            </w:r>
          </w:p>
        </w:tc>
        <w:tc>
          <w:tcPr>
            <w:tcW w:w="0" w:type="dxa"/>
            <w:vAlign w:val="bottom"/>
          </w:tcPr>
          <w:p>
            <w:pPr>
              <w:spacing w:after="0"/>
              <w:rPr>
                <w:sz w:val="1"/>
                <w:szCs w:val="1"/>
                <w:color w:val="auto"/>
              </w:rPr>
            </w:pPr>
          </w:p>
        </w:tc>
      </w:tr>
      <w:tr>
        <w:trPr>
          <w:trHeight w:val="84"/>
        </w:trPr>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Teri Lawver</w:t>
            </w:r>
          </w:p>
        </w:tc>
        <w:tc>
          <w:tcPr>
            <w:tcW w:w="40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160" w:type="dxa"/>
            <w:vAlign w:val="bottom"/>
            <w:vMerge w:val="continue"/>
          </w:tcPr>
          <w:p>
            <w:pPr>
              <w:spacing w:after="0"/>
              <w:rPr>
                <w:sz w:val="10"/>
                <w:szCs w:val="10"/>
                <w:color w:val="auto"/>
              </w:rPr>
            </w:pPr>
          </w:p>
        </w:tc>
        <w:tc>
          <w:tcPr>
            <w:tcW w:w="40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Wayne Pisano</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13, 2026</w:t>
            </w:r>
          </w:p>
        </w:tc>
        <w:tc>
          <w:tcPr>
            <w:tcW w:w="0" w:type="dxa"/>
            <w:vAlign w:val="bottom"/>
          </w:tcPr>
          <w:p>
            <w:pPr>
              <w:spacing w:after="0"/>
              <w:rPr>
                <w:sz w:val="1"/>
                <w:szCs w:val="1"/>
                <w:color w:val="auto"/>
              </w:rPr>
            </w:pPr>
          </w:p>
        </w:tc>
      </w:tr>
      <w:tr>
        <w:trPr>
          <w:trHeight w:val="205"/>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Wayne Pisano</w:t>
            </w:r>
          </w:p>
        </w:tc>
        <w:tc>
          <w:tcPr>
            <w:tcW w:w="4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Mitchel Sayare, Ph.D.</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13, 2026</w:t>
            </w:r>
          </w:p>
        </w:tc>
        <w:tc>
          <w:tcPr>
            <w:tcW w:w="0" w:type="dxa"/>
            <w:vAlign w:val="bottom"/>
          </w:tcPr>
          <w:p>
            <w:pPr>
              <w:spacing w:after="0"/>
              <w:rPr>
                <w:sz w:val="1"/>
                <w:szCs w:val="1"/>
                <w:color w:val="auto"/>
              </w:rPr>
            </w:pPr>
          </w:p>
        </w:tc>
      </w:tr>
      <w:tr>
        <w:trPr>
          <w:trHeight w:val="205"/>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Mitchel Sayare, Ph.D.</w:t>
            </w:r>
          </w:p>
        </w:tc>
        <w:tc>
          <w:tcPr>
            <w:tcW w:w="4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Klaus O. Schafer, M.D.</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13, 2026</w:t>
            </w:r>
          </w:p>
        </w:tc>
        <w:tc>
          <w:tcPr>
            <w:tcW w:w="0" w:type="dxa"/>
            <w:vAlign w:val="bottom"/>
          </w:tcPr>
          <w:p>
            <w:pPr>
              <w:spacing w:after="0"/>
              <w:rPr>
                <w:sz w:val="1"/>
                <w:szCs w:val="1"/>
                <w:color w:val="auto"/>
              </w:rPr>
            </w:pPr>
          </w:p>
        </w:tc>
      </w:tr>
      <w:tr>
        <w:trPr>
          <w:trHeight w:val="205"/>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Klaus O. Schafer, M.D.</w:t>
            </w:r>
          </w:p>
        </w:tc>
        <w:tc>
          <w:tcPr>
            <w:tcW w:w="4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Catherine Sohn, Pharm D.</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13, 2026</w:t>
            </w:r>
          </w:p>
        </w:tc>
        <w:tc>
          <w:tcPr>
            <w:tcW w:w="0" w:type="dxa"/>
            <w:vAlign w:val="bottom"/>
          </w:tcPr>
          <w:p>
            <w:pPr>
              <w:spacing w:after="0"/>
              <w:rPr>
                <w:sz w:val="1"/>
                <w:szCs w:val="1"/>
                <w:color w:val="auto"/>
              </w:rPr>
            </w:pPr>
          </w:p>
        </w:tc>
      </w:tr>
      <w:tr>
        <w:trPr>
          <w:trHeight w:val="205"/>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Catherine Sohn, Pharm D.</w:t>
            </w:r>
          </w:p>
        </w:tc>
        <w:tc>
          <w:tcPr>
            <w:tcW w:w="4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3"/>
        </w:trPr>
        <w:tc>
          <w:tcPr>
            <w:tcW w:w="31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4" w:name="page5"/>
    <w:bookmarkEnd w:id="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-119380</wp:posOffset>
            </wp:positionV>
            <wp:extent cx="1560830" cy="441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560830" cy="441325"/>
                    </a:xfrm>
                    <a:prstGeom prst="rect">
                      <a:avLst/>
                    </a:prstGeom>
                    <a:noFill/>
                  </pic:spPr>
                </pic:pic>
              </a:graphicData>
            </a:graphic>
          </wp:anchor>
        </w:drawing>
      </w:r>
    </w:p>
    <w:p>
      <w:pPr>
        <w:spacing w:after="0" w:line="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goodwinlaw.com</w:t>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+1 617 570 1000</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May 13, 2026</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Altimmune, Inc.</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910 Clopper Road Suite 201S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Gaithersburg, Maryland</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have acted as your counsel in connection with your filing of a Registration Statement on Form S-8 (the</w:t>
      </w:r>
    </w:p>
    <w:p>
      <w:pPr>
        <w:spacing w:after="0" w:line="26" w:lineRule="exact"/>
        <w:rPr>
          <w:sz w:val="20"/>
          <w:szCs w:val="20"/>
          <w:color w:val="auto"/>
        </w:rPr>
      </w:pPr>
    </w:p>
    <w:p>
      <w:pPr>
        <w:ind w:left="200" w:right="41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or about the date hereof relating to an aggregate of 705,327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Altimmune,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may be issued pursuant to the Company’s 2019 Employee Stock Purchase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200" w:right="479"/>
        <w:spacing w:after="0" w:line="262"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7" w:lineRule="exact"/>
        <w:rPr>
          <w:sz w:val="20"/>
          <w:szCs w:val="20"/>
          <w:color w:val="auto"/>
        </w:rPr>
      </w:pPr>
    </w:p>
    <w:p>
      <w:pPr>
        <w:ind w:left="200" w:right="539"/>
        <w:spacing w:after="0" w:line="257"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0" w:lineRule="exact"/>
        <w:rPr>
          <w:sz w:val="20"/>
          <w:szCs w:val="20"/>
          <w:color w:val="auto"/>
        </w:rPr>
      </w:pPr>
    </w:p>
    <w:p>
      <w:pPr>
        <w:ind w:left="200" w:right="519"/>
        <w:spacing w:after="0" w:line="308" w:lineRule="auto"/>
        <w:rPr>
          <w:sz w:val="20"/>
          <w:szCs w:val="20"/>
          <w:color w:val="auto"/>
        </w:rPr>
      </w:pPr>
      <w:r>
        <w:rPr>
          <w:rFonts w:ascii="Times New Roman" w:cs="Times New Roman" w:eastAsia="Times New Roman" w:hAnsi="Times New Roman"/>
          <w:sz w:val="17"/>
          <w:szCs w:val="17"/>
          <w:color w:val="auto"/>
        </w:rPr>
        <w:t>Based on the foregoing, we are of the opinion that the Shares have been duly authorized and, when delivered against payment therefor in accordance with the terms of the Plan, will be validly issued, fully paid and nonassessable.</w:t>
      </w:r>
    </w:p>
    <w:p>
      <w:pPr>
        <w:spacing w:after="0" w:line="139" w:lineRule="exact"/>
        <w:rPr>
          <w:sz w:val="20"/>
          <w:szCs w:val="20"/>
          <w:color w:val="auto"/>
        </w:rPr>
      </w:pPr>
    </w:p>
    <w:p>
      <w:pPr>
        <w:ind w:left="200" w:right="539"/>
        <w:spacing w:after="0" w:line="277"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3" w:lineRule="exact"/>
        <w:rPr>
          <w:sz w:val="20"/>
          <w:szCs w:val="20"/>
          <w:color w:val="auto"/>
        </w:rPr>
      </w:pPr>
    </w:p>
    <w:p>
      <w:pPr>
        <w:jc w:val="both"/>
        <w:ind w:left="200" w:right="399"/>
        <w:spacing w:after="0" w:line="26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354965</wp:posOffset>
            </wp:positionV>
            <wp:extent cx="54540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Altimmune, Inc. 2019 Employee Stock Purchase Plan, as amended, of our report dated March 6, 2026, with respect to the consolidated financial statements of Altimmune, Inc. included in its Annual Report (Form 10-K) for the year ended December 31, 2025, filed with the Securities and Exchange Commission.</w:t>
      </w:r>
    </w:p>
    <w:p>
      <w:pPr>
        <w:spacing w:after="0" w:line="3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343535</wp:posOffset>
            </wp:positionV>
            <wp:extent cx="54540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Altimmune,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705,327</w:t>
            </w:r>
          </w:p>
        </w:tc>
        <w:tc>
          <w:tcPr>
            <w:tcW w:w="20" w:type="dxa"/>
            <w:vAlign w:val="bottom"/>
          </w:tcPr>
          <w:p>
            <w:pPr>
              <w:spacing w:after="0"/>
              <w:rPr>
                <w:sz w:val="20"/>
                <w:szCs w:val="20"/>
                <w:color w:val="auto"/>
              </w:rPr>
            </w:pPr>
          </w:p>
        </w:tc>
        <w:tc>
          <w:tcPr>
            <w:tcW w:w="13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$ 3.06</w:t>
            </w:r>
          </w:p>
        </w:tc>
        <w:tc>
          <w:tcPr>
            <w:tcW w:w="40" w:type="dxa"/>
            <w:vAlign w:val="bottom"/>
          </w:tcPr>
          <w:p>
            <w:pPr>
              <w:spacing w:after="0"/>
              <w:rPr>
                <w:sz w:val="20"/>
                <w:szCs w:val="20"/>
                <w:color w:val="auto"/>
              </w:rPr>
            </w:pPr>
          </w:p>
        </w:tc>
        <w:tc>
          <w:tcPr>
            <w:tcW w:w="14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$ 2,158,300.62</w:t>
            </w:r>
          </w:p>
        </w:tc>
        <w:tc>
          <w:tcPr>
            <w:tcW w:w="4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$ 298.06</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$ 2,158,300.62</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$ 298.06</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$ 298.06</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60"/>
        <w:spacing w:after="0" w:line="244" w:lineRule="auto"/>
        <w:rPr>
          <w:sz w:val="20"/>
          <w:szCs w:val="20"/>
          <w:color w:val="auto"/>
        </w:rPr>
      </w:pPr>
      <w:r>
        <w:rPr>
          <w:rFonts w:ascii="Arial" w:cs="Arial" w:eastAsia="Arial" w:hAnsi="Arial"/>
          <w:sz w:val="21"/>
          <w:szCs w:val="21"/>
          <w:color w:val="auto"/>
        </w:rPr>
        <w:t>Pursuant to Rule 416(a) under the Securities Act of 1933, as amended (the "Securities Act"), this registration statement shall also cover any additional shares of the Registrant's common stock, par value $0.0001 per share (the "Common Stock") which become issuable under the Altimmune, Inc. 2019 Employee Stock Purchase Plan, as amended (the "2019 ESPP") by reason of any stock dividend, stock split, recapitalization or any other similar transaction effected without the receipt of consideration which results in an increase in the number of our outstanding shares of common stock. Pursuant to Rule 416(c) under the Securities Act, this registration statement shall also cover an indeterminate amount of interests to be offered or sold pursuant to the 2019 ESPP.</w:t>
      </w:r>
    </w:p>
    <w:p>
      <w:pPr>
        <w:spacing w:after="0" w:line="200" w:lineRule="exact"/>
        <w:rPr>
          <w:sz w:val="20"/>
          <w:szCs w:val="20"/>
          <w:color w:val="auto"/>
        </w:rPr>
      </w:pPr>
    </w:p>
    <w:p>
      <w:pPr>
        <w:ind w:left="800" w:right="680"/>
        <w:spacing w:after="0" w:line="252" w:lineRule="auto"/>
        <w:rPr>
          <w:sz w:val="20"/>
          <w:szCs w:val="20"/>
          <w:color w:val="auto"/>
        </w:rPr>
      </w:pPr>
      <w:r>
        <w:rPr>
          <w:rFonts w:ascii="Arial" w:cs="Arial" w:eastAsia="Arial" w:hAnsi="Arial"/>
          <w:sz w:val="21"/>
          <w:szCs w:val="21"/>
          <w:color w:val="auto"/>
        </w:rPr>
        <w:t>Estimated solely for the purpose of calculating the registration fee pursuant to Rule 457(c) and (h) of the Securities Act, and based on the average of the high and low sales prices of the Common Stock, as quoted on The Nasdaq Global Market, on May 8, 2026, which is a date within five business days prior to the filing of this registration statement.</w:t>
      </w:r>
    </w:p>
    <w:p>
      <w:pPr>
        <w:spacing w:after="0" w:line="188" w:lineRule="exact"/>
        <w:rPr>
          <w:sz w:val="20"/>
          <w:szCs w:val="20"/>
          <w:color w:val="auto"/>
        </w:rPr>
      </w:pPr>
    </w:p>
    <w:p>
      <w:pPr>
        <w:ind w:left="800" w:right="660"/>
        <w:spacing w:after="0" w:line="252" w:lineRule="auto"/>
        <w:rPr>
          <w:sz w:val="20"/>
          <w:szCs w:val="20"/>
          <w:color w:val="auto"/>
        </w:rPr>
      </w:pPr>
      <w:r>
        <w:rPr>
          <w:rFonts w:ascii="Arial" w:cs="Arial" w:eastAsia="Arial" w:hAnsi="Arial"/>
          <w:sz w:val="21"/>
          <w:szCs w:val="21"/>
          <w:color w:val="auto"/>
        </w:rPr>
        <w:t>Represents an increase of 705,327 additional shares available for issuance under the 2019 ESPP pursuant to the approval of the Company's shareholders at the Altimmune 2026 Annual Meering where, on April 16, 2026, such shareholders authorized an increase in the number of shares of Common Stock reserved and available for issuance under the 2019 ESPP by 705,327.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377825</wp:posOffset>
            </wp:positionV>
            <wp:extent cx="6387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jpe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18" Type="http://schemas.openxmlformats.org/officeDocument/2006/relationships/hyperlink" Target="https://www.sec.gov/Archives/edgar/data/1326190/000119312519097986/d870370ds8.htm" TargetMode="External"/><Relationship Id="rId20" Type="http://schemas.openxmlformats.org/officeDocument/2006/relationships/hyperlink" Target="https://www.sec.gov/Archives/edgar/data/1326190/000119312517312751/d470504dex31.htm" TargetMode="External"/><Relationship Id="rId21" Type="http://schemas.openxmlformats.org/officeDocument/2006/relationships/hyperlink" Target="https://www.sec.gov/Archives/edgar/data/1326190/000119312518272896/d621454dex31.htm" TargetMode="External"/><Relationship Id="rId22" Type="http://schemas.openxmlformats.org/officeDocument/2006/relationships/hyperlink" Target="https://www.sec.gov/Archives/edgar/data/1326190/000119312518272896/d621454dex32.htm" TargetMode="External"/><Relationship Id="rId23" Type="http://schemas.openxmlformats.org/officeDocument/2006/relationships/hyperlink" Target="https://www.sec.gov/Archives/edgar/data/1326190/000132619026000027/alt-20260416xex3d1.htm" TargetMode="External"/><Relationship Id="rId24" Type="http://schemas.openxmlformats.org/officeDocument/2006/relationships/hyperlink" Target="https://www.sec.gov/Archives/edgar/data/1326190/000119312517312751/d470504dex32.htm" TargetMode="External"/><Relationship Id="rId25" Type="http://schemas.openxmlformats.org/officeDocument/2006/relationships/hyperlink" Target="https://www.sec.gov/Archives/edgar/data/1326190/000119312519097986/d870370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2026-05-13T15:29:35Z</dcterms:created>
  <dcterms:modified xsi:type="dcterms:W3CDTF">2026-05-13T15:29:35Z</dcterms:modified>
</cp:coreProperties>
</file>