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75565</wp:posOffset>
            </wp:positionV>
            <wp:extent cx="565975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9755" cy="32385"/>
                    </a:xfrm>
                    <a:prstGeom prst="rect">
                      <a:avLst/>
                    </a:prstGeom>
                    <a:noFill/>
                  </pic:spPr>
                </pic:pic>
              </a:graphicData>
            </a:graphic>
          </wp:anchor>
        </w:drawing>
      </w:r>
    </w:p>
    <w:p>
      <w:pPr>
        <w:spacing w:after="0" w:line="247"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5"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2152650</wp:posOffset>
            </wp:positionH>
            <wp:positionV relativeFrom="paragraph">
              <wp:posOffset>69850</wp:posOffset>
            </wp:positionV>
            <wp:extent cx="14147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48"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2152650</wp:posOffset>
            </wp:positionH>
            <wp:positionV relativeFrom="paragraph">
              <wp:posOffset>86995</wp:posOffset>
            </wp:positionV>
            <wp:extent cx="14147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79"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0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27"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86"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September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2152650</wp:posOffset>
            </wp:positionH>
            <wp:positionV relativeFrom="paragraph">
              <wp:posOffset>83820</wp:posOffset>
            </wp:positionV>
            <wp:extent cx="141478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16510"/>
                    </a:xfrm>
                    <a:prstGeom prst="rect">
                      <a:avLst/>
                    </a:prstGeom>
                    <a:noFill/>
                  </pic:spPr>
                </pic:pic>
              </a:graphicData>
            </a:graphic>
          </wp:anchor>
        </w:drawing>
      </w:r>
    </w:p>
    <w:p>
      <w:pPr>
        <w:spacing w:after="0" w:line="167"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41"/>
          <w:szCs w:val="41"/>
          <w:b w:val="1"/>
          <w:bCs w:val="1"/>
          <w:color w:val="auto"/>
        </w:rPr>
        <w:t>ALTIMMUNE, INC.</w:t>
      </w:r>
    </w:p>
    <w:p>
      <w:pPr>
        <w:spacing w:after="0" w:line="52"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2152650</wp:posOffset>
            </wp:positionH>
            <wp:positionV relativeFrom="paragraph">
              <wp:posOffset>69850</wp:posOffset>
            </wp:positionV>
            <wp:extent cx="141478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16510"/>
                    </a:xfrm>
                    <a:prstGeom prst="rect">
                      <a:avLst/>
                    </a:prstGeom>
                    <a:noFill/>
                  </pic:spPr>
                </pic:pic>
              </a:graphicData>
            </a:graphic>
          </wp:anchor>
        </w:drawing>
      </w:r>
    </w:p>
    <w:p>
      <w:pPr>
        <w:spacing w:after="0" w:line="300" w:lineRule="exact"/>
        <w:rPr>
          <w:sz w:val="24"/>
          <w:szCs w:val="24"/>
          <w:color w:val="auto"/>
        </w:rPr>
      </w:pPr>
    </w:p>
    <w:tbl>
      <w:tblPr>
        <w:tblLayout w:type="fixed"/>
        <w:tblInd w:w="440" w:type="dxa"/>
        <w:tblCellMar>
          <w:top w:w="0" w:type="dxa"/>
          <w:left w:w="0" w:type="dxa"/>
          <w:bottom w:w="0" w:type="dxa"/>
          <w:right w:w="0" w:type="dxa"/>
        </w:tblCellMar>
      </w:tblPr>
      <w:tr>
        <w:trPr>
          <w:trHeight w:val="201"/>
        </w:trPr>
        <w:tc>
          <w:tcPr>
            <w:tcW w:w="3000" w:type="dxa"/>
            <w:vAlign w:val="bottom"/>
          </w:tcPr>
          <w:p>
            <w:pPr>
              <w:jc w:val="center"/>
              <w:ind w:right="683"/>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2560" w:type="dxa"/>
            <w:vAlign w:val="bottom"/>
          </w:tcPr>
          <w:p>
            <w:pPr>
              <w:ind w:left="780"/>
              <w:spacing w:after="0"/>
              <w:rPr>
                <w:sz w:val="20"/>
                <w:szCs w:val="20"/>
                <w:color w:val="auto"/>
              </w:rPr>
            </w:pPr>
            <w:r>
              <w:rPr>
                <w:rFonts w:ascii="Times New Roman" w:cs="Times New Roman" w:eastAsia="Times New Roman" w:hAnsi="Times New Roman"/>
                <w:sz w:val="17"/>
                <w:szCs w:val="17"/>
                <w:b w:val="1"/>
                <w:bCs w:val="1"/>
                <w:color w:val="auto"/>
              </w:rPr>
              <w:t>001-32587</w:t>
            </w:r>
          </w:p>
        </w:tc>
        <w:tc>
          <w:tcPr>
            <w:tcW w:w="2080" w:type="dxa"/>
            <w:vAlign w:val="bottom"/>
          </w:tcPr>
          <w:p>
            <w:pPr>
              <w:jc w:val="right"/>
              <w:ind w:right="65"/>
              <w:spacing w:after="0"/>
              <w:rPr>
                <w:sz w:val="20"/>
                <w:szCs w:val="20"/>
                <w:color w:val="auto"/>
              </w:rPr>
            </w:pPr>
            <w:r>
              <w:rPr>
                <w:rFonts w:ascii="Times New Roman" w:cs="Times New Roman" w:eastAsia="Times New Roman" w:hAnsi="Times New Roman"/>
                <w:sz w:val="17"/>
                <w:szCs w:val="17"/>
                <w:b w:val="1"/>
                <w:bCs w:val="1"/>
                <w:color w:val="auto"/>
              </w:rPr>
              <w:t>20-2726770</w:t>
            </w:r>
          </w:p>
        </w:tc>
      </w:tr>
      <w:tr>
        <w:trPr>
          <w:trHeight w:val="141"/>
        </w:trPr>
        <w:tc>
          <w:tcPr>
            <w:tcW w:w="3000" w:type="dxa"/>
            <w:vAlign w:val="bottom"/>
          </w:tcPr>
          <w:p>
            <w:pPr>
              <w:jc w:val="center"/>
              <w:ind w:right="683"/>
              <w:spacing w:after="0" w:line="141" w:lineRule="exact"/>
              <w:rPr>
                <w:sz w:val="20"/>
                <w:szCs w:val="20"/>
                <w:color w:val="auto"/>
              </w:rPr>
            </w:pPr>
            <w:r>
              <w:rPr>
                <w:rFonts w:ascii="Times New Roman" w:cs="Times New Roman" w:eastAsia="Times New Roman" w:hAnsi="Times New Roman"/>
                <w:sz w:val="14"/>
                <w:szCs w:val="14"/>
                <w:b w:val="1"/>
                <w:bCs w:val="1"/>
                <w:color w:val="auto"/>
                <w:w w:val="97"/>
              </w:rPr>
              <w:t>(State or other jurisdiction</w:t>
            </w:r>
          </w:p>
        </w:tc>
        <w:tc>
          <w:tcPr>
            <w:tcW w:w="2560" w:type="dxa"/>
            <w:vAlign w:val="bottom"/>
          </w:tcPr>
          <w:p>
            <w:pPr>
              <w:ind w:left="780"/>
              <w:spacing w:after="0" w:line="14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080" w:type="dxa"/>
            <w:vAlign w:val="bottom"/>
          </w:tcPr>
          <w:p>
            <w:pPr>
              <w:jc w:val="center"/>
              <w:ind w:left="925"/>
              <w:spacing w:after="0" w:line="141" w:lineRule="exact"/>
              <w:rPr>
                <w:sz w:val="20"/>
                <w:szCs w:val="20"/>
                <w:color w:val="auto"/>
              </w:rPr>
            </w:pPr>
            <w:r>
              <w:rPr>
                <w:rFonts w:ascii="Times New Roman" w:cs="Times New Roman" w:eastAsia="Times New Roman" w:hAnsi="Times New Roman"/>
                <w:sz w:val="14"/>
                <w:szCs w:val="14"/>
                <w:b w:val="1"/>
                <w:bCs w:val="1"/>
                <w:color w:val="auto"/>
                <w:w w:val="97"/>
              </w:rPr>
              <w:t>(IRS Employer</w:t>
            </w:r>
          </w:p>
        </w:tc>
      </w:tr>
      <w:tr>
        <w:trPr>
          <w:trHeight w:val="180"/>
        </w:trPr>
        <w:tc>
          <w:tcPr>
            <w:tcW w:w="3000" w:type="dxa"/>
            <w:vAlign w:val="bottom"/>
          </w:tcPr>
          <w:p>
            <w:pPr>
              <w:jc w:val="center"/>
              <w:ind w:right="683"/>
              <w:spacing w:after="0"/>
              <w:rPr>
                <w:sz w:val="20"/>
                <w:szCs w:val="20"/>
                <w:color w:val="auto"/>
              </w:rPr>
            </w:pPr>
            <w:r>
              <w:rPr>
                <w:rFonts w:ascii="Times New Roman" w:cs="Times New Roman" w:eastAsia="Times New Roman" w:hAnsi="Times New Roman"/>
                <w:sz w:val="14"/>
                <w:szCs w:val="14"/>
                <w:b w:val="1"/>
                <w:bCs w:val="1"/>
                <w:color w:val="auto"/>
                <w:w w:val="97"/>
              </w:rPr>
              <w:t>of incorporation)</w:t>
            </w:r>
          </w:p>
        </w:tc>
        <w:tc>
          <w:tcPr>
            <w:tcW w:w="256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080" w:type="dxa"/>
            <w:vAlign w:val="bottom"/>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311"/>
        </w:trPr>
        <w:tc>
          <w:tcPr>
            <w:tcW w:w="3000" w:type="dxa"/>
            <w:vAlign w:val="bottom"/>
          </w:tcPr>
          <w:p>
            <w:pPr>
              <w:jc w:val="center"/>
              <w:ind w:right="663"/>
              <w:spacing w:after="0"/>
              <w:rPr>
                <w:sz w:val="20"/>
                <w:szCs w:val="20"/>
                <w:color w:val="auto"/>
              </w:rPr>
            </w:pPr>
            <w:r>
              <w:rPr>
                <w:rFonts w:ascii="Times New Roman" w:cs="Times New Roman" w:eastAsia="Times New Roman" w:hAnsi="Times New Roman"/>
                <w:sz w:val="17"/>
                <w:szCs w:val="17"/>
                <w:b w:val="1"/>
                <w:bCs w:val="1"/>
                <w:color w:val="auto"/>
              </w:rPr>
              <w:t>910 Clopper Road, Suite 201S</w:t>
            </w:r>
          </w:p>
        </w:tc>
        <w:tc>
          <w:tcPr>
            <w:tcW w:w="25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01"/>
        </w:trPr>
        <w:tc>
          <w:tcPr>
            <w:tcW w:w="3000" w:type="dxa"/>
            <w:vAlign w:val="bottom"/>
          </w:tcPr>
          <w:p>
            <w:pPr>
              <w:jc w:val="center"/>
              <w:ind w:right="683"/>
              <w:spacing w:after="0"/>
              <w:rPr>
                <w:sz w:val="20"/>
                <w:szCs w:val="20"/>
                <w:color w:val="auto"/>
              </w:rPr>
            </w:pPr>
            <w:r>
              <w:rPr>
                <w:rFonts w:ascii="Times New Roman" w:cs="Times New Roman" w:eastAsia="Times New Roman" w:hAnsi="Times New Roman"/>
                <w:sz w:val="17"/>
                <w:szCs w:val="17"/>
                <w:b w:val="1"/>
                <w:bCs w:val="1"/>
                <w:color w:val="auto"/>
              </w:rPr>
              <w:t>Gaithersburg, Maryland</w:t>
            </w:r>
          </w:p>
        </w:tc>
        <w:tc>
          <w:tcPr>
            <w:tcW w:w="2560" w:type="dxa"/>
            <w:vAlign w:val="bottom"/>
          </w:tcPr>
          <w:p>
            <w:pPr>
              <w:spacing w:after="0"/>
              <w:rPr>
                <w:sz w:val="17"/>
                <w:szCs w:val="17"/>
                <w:color w:val="auto"/>
              </w:rPr>
            </w:pPr>
          </w:p>
        </w:tc>
        <w:tc>
          <w:tcPr>
            <w:tcW w:w="2080" w:type="dxa"/>
            <w:vAlign w:val="bottom"/>
          </w:tcPr>
          <w:p>
            <w:pPr>
              <w:jc w:val="right"/>
              <w:ind w:right="245"/>
              <w:spacing w:after="0"/>
              <w:rPr>
                <w:sz w:val="20"/>
                <w:szCs w:val="20"/>
                <w:color w:val="auto"/>
              </w:rPr>
            </w:pPr>
            <w:r>
              <w:rPr>
                <w:rFonts w:ascii="Times New Roman" w:cs="Times New Roman" w:eastAsia="Times New Roman" w:hAnsi="Times New Roman"/>
                <w:sz w:val="17"/>
                <w:szCs w:val="17"/>
                <w:b w:val="1"/>
                <w:bCs w:val="1"/>
                <w:color w:val="auto"/>
              </w:rPr>
              <w:t>20878</w:t>
            </w:r>
          </w:p>
        </w:tc>
      </w:tr>
      <w:tr>
        <w:trPr>
          <w:trHeight w:val="180"/>
        </w:trPr>
        <w:tc>
          <w:tcPr>
            <w:tcW w:w="3000" w:type="dxa"/>
            <w:vAlign w:val="bottom"/>
          </w:tcPr>
          <w:p>
            <w:pPr>
              <w:jc w:val="center"/>
              <w:ind w:right="663"/>
              <w:spacing w:after="0"/>
              <w:rPr>
                <w:sz w:val="20"/>
                <w:szCs w:val="20"/>
                <w:color w:val="auto"/>
              </w:rPr>
            </w:pPr>
            <w:r>
              <w:rPr>
                <w:rFonts w:ascii="Times New Roman" w:cs="Times New Roman" w:eastAsia="Times New Roman" w:hAnsi="Times New Roman"/>
                <w:sz w:val="14"/>
                <w:szCs w:val="14"/>
                <w:b w:val="1"/>
                <w:bCs w:val="1"/>
                <w:color w:val="auto"/>
                <w:w w:val="97"/>
              </w:rPr>
              <w:t>(Address of principal executive offices)</w:t>
            </w:r>
          </w:p>
        </w:tc>
        <w:tc>
          <w:tcPr>
            <w:tcW w:w="2560" w:type="dxa"/>
            <w:vAlign w:val="bottom"/>
          </w:tcPr>
          <w:p>
            <w:pPr>
              <w:spacing w:after="0"/>
              <w:rPr>
                <w:sz w:val="15"/>
                <w:szCs w:val="15"/>
                <w:color w:val="auto"/>
              </w:rPr>
            </w:pPr>
          </w:p>
        </w:tc>
        <w:tc>
          <w:tcPr>
            <w:tcW w:w="2080" w:type="dxa"/>
            <w:vAlign w:val="bottom"/>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bl>
    <w:p>
      <w:pPr>
        <w:spacing w:after="0" w:line="80"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(240) 654-1450</w:t>
      </w:r>
    </w:p>
    <w:p>
      <w:pPr>
        <w:spacing w:after="0" w:line="108"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2152650</wp:posOffset>
            </wp:positionH>
            <wp:positionV relativeFrom="paragraph">
              <wp:posOffset>132715</wp:posOffset>
            </wp:positionV>
            <wp:extent cx="14147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378" w:lineRule="exact"/>
        <w:rPr>
          <w:sz w:val="24"/>
          <w:szCs w:val="24"/>
          <w:color w:val="auto"/>
        </w:rPr>
      </w:pPr>
    </w:p>
    <w:p>
      <w:pPr>
        <w:ind w:left="40" w:right="500"/>
        <w:spacing w:after="0" w:line="28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75" w:lineRule="exact"/>
        <w:rPr>
          <w:sz w:val="24"/>
          <w:szCs w:val="24"/>
          <w:color w:val="auto"/>
        </w:rPr>
      </w:pPr>
    </w:p>
    <w:p>
      <w:pPr>
        <w:ind w:left="700" w:hanging="347"/>
        <w:spacing w:after="0"/>
        <w:tabs>
          <w:tab w:leader="none" w:pos="7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7" w:lineRule="exact"/>
        <w:rPr>
          <w:rFonts w:ascii="MS PGothic" w:cs="MS PGothic" w:eastAsia="MS PGothic" w:hAnsi="MS PGothic"/>
          <w:sz w:val="17"/>
          <w:szCs w:val="17"/>
          <w:color w:val="auto"/>
        </w:rPr>
      </w:pPr>
    </w:p>
    <w:p>
      <w:pPr>
        <w:ind w:left="700" w:hanging="347"/>
        <w:spacing w:after="0"/>
        <w:tabs>
          <w:tab w:leader="none" w:pos="7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9" w:lineRule="exact"/>
        <w:rPr>
          <w:rFonts w:ascii="MS PGothic" w:cs="MS PGothic" w:eastAsia="MS PGothic" w:hAnsi="MS PGothic"/>
          <w:sz w:val="17"/>
          <w:szCs w:val="17"/>
          <w:color w:val="auto"/>
        </w:rPr>
      </w:pPr>
    </w:p>
    <w:p>
      <w:pPr>
        <w:ind w:left="700" w:hanging="347"/>
        <w:spacing w:after="0"/>
        <w:tabs>
          <w:tab w:leader="none" w:pos="7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9" w:lineRule="exact"/>
        <w:rPr>
          <w:rFonts w:ascii="MS PGothic" w:cs="MS PGothic" w:eastAsia="MS PGothic" w:hAnsi="MS PGothic"/>
          <w:sz w:val="17"/>
          <w:szCs w:val="17"/>
          <w:color w:val="auto"/>
        </w:rPr>
      </w:pPr>
    </w:p>
    <w:p>
      <w:pPr>
        <w:ind w:left="700" w:hanging="347"/>
        <w:spacing w:after="0"/>
        <w:tabs>
          <w:tab w:leader="none" w:pos="7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0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34" w:lineRule="exact"/>
        <w:rPr>
          <w:sz w:val="24"/>
          <w:szCs w:val="24"/>
          <w:color w:val="auto"/>
        </w:rPr>
      </w:pPr>
    </w:p>
    <w:tbl>
      <w:tblPr>
        <w:tblLayout w:type="fixed"/>
        <w:tblInd w:w="290" w:type="dxa"/>
        <w:tblCellMar>
          <w:top w:w="0" w:type="dxa"/>
          <w:left w:w="0" w:type="dxa"/>
          <w:bottom w:w="0" w:type="dxa"/>
          <w:right w:w="0" w:type="dxa"/>
        </w:tblCellMar>
      </w:tblPr>
      <w:tr>
        <w:trPr>
          <w:trHeight w:val="218"/>
        </w:trPr>
        <w:tc>
          <w:tcPr>
            <w:tcW w:w="3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Title of each class</w:t>
            </w:r>
          </w:p>
        </w:tc>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3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198"/>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$0.0001 per share</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ALT</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The NASDAQ Global Market</w:t>
            </w:r>
          </w:p>
        </w:tc>
      </w:tr>
    </w:tbl>
    <w:p>
      <w:pPr>
        <w:spacing w:after="0" w:line="99" w:lineRule="exact"/>
        <w:rPr>
          <w:sz w:val="24"/>
          <w:szCs w:val="24"/>
          <w:color w:val="auto"/>
        </w:rPr>
      </w:pPr>
    </w:p>
    <w:p>
      <w:pPr>
        <w:ind w:left="40" w:right="780"/>
        <w:spacing w:after="0" w:line="284"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 w:lineRule="exact"/>
        <w:rPr>
          <w:sz w:val="24"/>
          <w:szCs w:val="24"/>
          <w:color w:val="auto"/>
        </w:rPr>
      </w:pPr>
    </w:p>
    <w:p>
      <w:pPr>
        <w:ind w:left="69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40" w:lineRule="exact"/>
        <w:rPr>
          <w:sz w:val="24"/>
          <w:szCs w:val="24"/>
          <w:color w:val="auto"/>
        </w:rPr>
      </w:pPr>
    </w:p>
    <w:p>
      <w:pPr>
        <w:ind w:left="40" w:right="600"/>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581660</wp:posOffset>
            </wp:positionV>
            <wp:extent cx="5659755"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9755" cy="2413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53340</wp:posOffset>
            </wp:positionV>
            <wp:extent cx="5659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9755"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93980</wp:posOffset>
            </wp:positionV>
            <wp:extent cx="5659755"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9755" cy="32385"/>
                    </a:xfrm>
                    <a:prstGeom prst="rect">
                      <a:avLst/>
                    </a:prstGeom>
                    <a:noFill/>
                  </pic:spPr>
                </pic:pic>
              </a:graphicData>
            </a:graphic>
          </wp:anchor>
        </w:drawing>
      </w:r>
    </w:p>
    <w:p>
      <w:pPr>
        <w:sectPr>
          <w:pgSz w:w="11900" w:h="16838" w:orient="portrait"/>
          <w:cols w:equalWidth="0" w:num="1">
            <w:col w:w="9400"/>
          </w:cols>
          <w:pgMar w:left="1440" w:top="337" w:right="10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b w:val="1"/>
          <w:bCs w:val="1"/>
          <w:color w:val="auto"/>
        </w:rPr>
        <w:t>Item 7.01 Regulation FD Disclosure</w:t>
      </w:r>
    </w:p>
    <w:p>
      <w:pPr>
        <w:spacing w:after="0" w:line="218" w:lineRule="exact"/>
        <w:rPr>
          <w:sz w:val="20"/>
          <w:szCs w:val="20"/>
          <w:color w:val="auto"/>
        </w:rPr>
      </w:pPr>
    </w:p>
    <w:p>
      <w:pPr>
        <w:jc w:val="both"/>
        <w:ind w:left="40" w:right="59" w:firstLine="615"/>
        <w:spacing w:after="0" w:line="262" w:lineRule="auto"/>
        <w:rPr>
          <w:sz w:val="20"/>
          <w:szCs w:val="20"/>
          <w:color w:val="auto"/>
        </w:rPr>
      </w:pPr>
      <w:r>
        <w:rPr>
          <w:rFonts w:ascii="Times New Roman" w:cs="Times New Roman" w:eastAsia="Times New Roman" w:hAnsi="Times New Roman"/>
          <w:sz w:val="17"/>
          <w:szCs w:val="17"/>
          <w:color w:val="auto"/>
        </w:rPr>
        <w:t>On September 14, 2022, Altimmune, Inc. (the “Company”) issued a press release announcing results from its Phase 1b study of ALT-801 (pemvidutide) in subjects with non-alcoholic fatty liver disease (NAFLD). The Company intends to host a conference call and live webcast to discuss the results on September 14, 2022 at 8:30 a.m. E.T. The Company has made available a slide presentation to accompany the call, a copy of which is being furnished as Exhibit 99.2 to this Current Report on Form 8-K.</w:t>
      </w:r>
    </w:p>
    <w:p>
      <w:pPr>
        <w:spacing w:after="0" w:line="171" w:lineRule="exact"/>
        <w:rPr>
          <w:sz w:val="20"/>
          <w:szCs w:val="20"/>
          <w:color w:val="auto"/>
        </w:rPr>
      </w:pPr>
    </w:p>
    <w:p>
      <w:pPr>
        <w:jc w:val="both"/>
        <w:ind w:left="40" w:right="59" w:firstLine="615"/>
        <w:spacing w:after="0" w:line="259" w:lineRule="auto"/>
        <w:rPr>
          <w:sz w:val="20"/>
          <w:szCs w:val="20"/>
          <w:color w:val="auto"/>
        </w:rPr>
      </w:pPr>
      <w:r>
        <w:rPr>
          <w:rFonts w:ascii="Times New Roman" w:cs="Times New Roman" w:eastAsia="Times New Roman" w:hAnsi="Times New Roman"/>
          <w:sz w:val="17"/>
          <w:szCs w:val="17"/>
          <w:color w:val="auto"/>
        </w:rPr>
        <w:t>The information in this Item 7.01, including Exhibits 99.1 and 99.2 attached hereto, shall not be deemed “filed” for purposes of Section 18 of the Securities Exchange Act of 1934, as amended, or otherwise subject to the liabilities of that section, nor shall they be deemed incorporated by reference in any filing under the Securities Act of 1933, as amended, except as expressly set forth by specific reference in such a filing. The Company undertakes no obligation to update, supplement or amend the materials attached hereto as Exhibit 99.2.</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8.01 Other Events</w:t>
      </w:r>
    </w:p>
    <w:p>
      <w:pPr>
        <w:spacing w:after="0" w:line="218" w:lineRule="exact"/>
        <w:rPr>
          <w:sz w:val="20"/>
          <w:szCs w:val="20"/>
          <w:color w:val="auto"/>
        </w:rPr>
      </w:pPr>
    </w:p>
    <w:p>
      <w:pPr>
        <w:jc w:val="both"/>
        <w:ind w:left="40" w:right="59" w:firstLine="615"/>
        <w:spacing w:after="0" w:line="284" w:lineRule="auto"/>
        <w:rPr>
          <w:sz w:val="20"/>
          <w:szCs w:val="20"/>
          <w:color w:val="auto"/>
        </w:rPr>
      </w:pPr>
      <w:r>
        <w:rPr>
          <w:rFonts w:ascii="Times New Roman" w:cs="Times New Roman" w:eastAsia="Times New Roman" w:hAnsi="Times New Roman"/>
          <w:sz w:val="17"/>
          <w:szCs w:val="17"/>
          <w:color w:val="auto"/>
        </w:rPr>
        <w:t>On September 14, 2022, the Company announced results from a 12-week, Phase 1b study of pemvidutide (proposed INN, formerly known as ALT-801), an investigational glucagon-like peptide-1 (GLP-1)/glucagon dual receptor agonist.</w:t>
      </w:r>
    </w:p>
    <w:p>
      <w:pPr>
        <w:spacing w:after="0" w:line="152" w:lineRule="exact"/>
        <w:rPr>
          <w:sz w:val="20"/>
          <w:szCs w:val="20"/>
          <w:color w:val="auto"/>
        </w:rPr>
      </w:pPr>
    </w:p>
    <w:p>
      <w:pPr>
        <w:jc w:val="both"/>
        <w:ind w:left="40" w:right="59" w:firstLine="615"/>
        <w:spacing w:after="0" w:line="257" w:lineRule="auto"/>
        <w:rPr>
          <w:sz w:val="20"/>
          <w:szCs w:val="20"/>
          <w:color w:val="auto"/>
        </w:rPr>
      </w:pPr>
      <w:r>
        <w:rPr>
          <w:rFonts w:ascii="Times New Roman" w:cs="Times New Roman" w:eastAsia="Times New Roman" w:hAnsi="Times New Roman"/>
          <w:sz w:val="17"/>
          <w:szCs w:val="17"/>
          <w:color w:val="auto"/>
        </w:rPr>
        <w:t>The trial was a randomized, double-blind, placebo-controlled study, with Dr. Stephen A. Harrison, Medical Director, Pinnacle Research, serving as the Principal Investigator. Ninety-four (94) subjects were randomized 1:1:1:1 to 1.2 mg, 1.8 mg, 2.4 mg pemvidutide or placebo administered weekly for 12 weeks. No dose titration was used with 1.2 mg or 1.8 mg dose, while a short 4-week dose titration was employed at the 2.4 mg dose. The primary efficacy endpoint was the percent reduction in liver fat content from baseline, and the key secondary efficacy endpoint was the percent weight loss from baseline. The trial was conducted as a NAFLD clinical trial, and the dietary and exercise interventions that are standard for obesity trials were not employed.</w:t>
      </w:r>
    </w:p>
    <w:p>
      <w:pPr>
        <w:spacing w:after="0" w:line="383" w:lineRule="exact"/>
        <w:rPr>
          <w:sz w:val="20"/>
          <w:szCs w:val="20"/>
          <w:color w:val="auto"/>
        </w:rPr>
      </w:pPr>
    </w:p>
    <w:p>
      <w:pPr>
        <w:jc w:val="both"/>
        <w:ind w:left="40" w:right="59" w:firstLine="615"/>
        <w:spacing w:after="0" w:line="267" w:lineRule="auto"/>
        <w:rPr>
          <w:sz w:val="20"/>
          <w:szCs w:val="20"/>
          <w:color w:val="auto"/>
        </w:rPr>
      </w:pPr>
      <w:r>
        <w:rPr>
          <w:rFonts w:ascii="Times New Roman" w:cs="Times New Roman" w:eastAsia="Times New Roman" w:hAnsi="Times New Roman"/>
          <w:sz w:val="17"/>
          <w:szCs w:val="17"/>
          <w:color w:val="auto"/>
        </w:rPr>
        <w:t>Subjects were randomized and treated at 13 sites across the U.S. Mean BMI at baseline was 36 kg/m2 and mean liver fat content, as measured by MRI-PDFF, was approximately 22%. Twenty-seven (29%) subjects had type 2 diabetes at baseline, and approximately 75% of trial subjects were of Hispanic ethnicity.</w:t>
      </w:r>
    </w:p>
    <w:p>
      <w:pPr>
        <w:spacing w:after="0" w:line="167" w:lineRule="exact"/>
        <w:rPr>
          <w:sz w:val="20"/>
          <w:szCs w:val="20"/>
          <w:color w:val="auto"/>
        </w:rPr>
      </w:pPr>
    </w:p>
    <w:p>
      <w:pPr>
        <w:jc w:val="both"/>
        <w:ind w:left="40" w:right="59" w:firstLine="615"/>
        <w:spacing w:after="0" w:line="258" w:lineRule="auto"/>
        <w:rPr>
          <w:sz w:val="20"/>
          <w:szCs w:val="20"/>
          <w:color w:val="auto"/>
        </w:rPr>
      </w:pPr>
      <w:r>
        <w:rPr>
          <w:rFonts w:ascii="Times New Roman" w:cs="Times New Roman" w:eastAsia="Times New Roman" w:hAnsi="Times New Roman"/>
          <w:sz w:val="17"/>
          <w:szCs w:val="17"/>
          <w:color w:val="auto"/>
        </w:rPr>
        <w:t>The trial met its primary endpoint in all pemvidutide treatment groups. At the 1.8 mg dose (with and without diabetes), pemvidutide achieved a mean relative reduction of liver fat content of 68.5%, with 94.4% of subjects achieving a 30% reduction in liver fat, 72.2% achieving a 50% reduction in liver fat, and 55.6% of subjects achieving normalization of liver fat, defined as liver fat fraction of 5% or less. In addition, mean serum alanine aminotransferase (ALT) levels declined in all subjects, and in subjects with baseline serum ALT above 30 IU/L, levels declined more than 17 IU/L at all dose levels and 27.0 IU/L in the 2.4 mg dose cohort.</w:t>
      </w:r>
    </w:p>
    <w:p>
      <w:pPr>
        <w:spacing w:after="0" w:line="173" w:lineRule="exact"/>
        <w:rPr>
          <w:sz w:val="20"/>
          <w:szCs w:val="20"/>
          <w:color w:val="auto"/>
        </w:rPr>
      </w:pPr>
    </w:p>
    <w:p>
      <w:pPr>
        <w:jc w:val="both"/>
        <w:ind w:left="40" w:right="59" w:firstLine="615"/>
        <w:spacing w:after="0" w:line="267" w:lineRule="auto"/>
        <w:rPr>
          <w:sz w:val="20"/>
          <w:szCs w:val="20"/>
          <w:color w:val="auto"/>
        </w:rPr>
      </w:pPr>
      <w:r>
        <w:rPr>
          <w:rFonts w:ascii="Times New Roman" w:cs="Times New Roman" w:eastAsia="Times New Roman" w:hAnsi="Times New Roman"/>
          <w:sz w:val="17"/>
          <w:szCs w:val="17"/>
          <w:color w:val="auto"/>
        </w:rPr>
        <w:t>The trial also met its key secondary endpoint in all pemvidutide treatment groups. Employing an efficacy estimand, mean weight losses of 4.9% (placebo-adjusted 4.7%) in subjects without diabetes and 4.4% in subjects with diabetes (placebo-adjusted 3.9%) were achieved at the 1.8 and 2.4 mg doses, respectively.</w:t>
      </w:r>
    </w:p>
    <w:p>
      <w:pPr>
        <w:spacing w:after="0" w:line="167" w:lineRule="exact"/>
        <w:rPr>
          <w:sz w:val="20"/>
          <w:szCs w:val="20"/>
          <w:color w:val="auto"/>
        </w:rPr>
      </w:pPr>
    </w:p>
    <w:p>
      <w:pPr>
        <w:jc w:val="both"/>
        <w:ind w:left="40" w:right="59" w:firstLine="615"/>
        <w:spacing w:after="0" w:line="256" w:lineRule="auto"/>
        <w:rPr>
          <w:sz w:val="20"/>
          <w:szCs w:val="20"/>
          <w:color w:val="auto"/>
        </w:rPr>
      </w:pPr>
      <w:r>
        <w:rPr>
          <w:rFonts w:ascii="Times New Roman" w:cs="Times New Roman" w:eastAsia="Times New Roman" w:hAnsi="Times New Roman"/>
          <w:sz w:val="17"/>
          <w:szCs w:val="17"/>
          <w:color w:val="auto"/>
        </w:rPr>
        <w:t>Pemvidutide was reported to be generally well tolerated. Gastrointestinal events comprised the majority of the adverse events (AEs). Even without dose titration, the symptoms experienced by subjects were predominantly mild and transient in nature and consistent with known GLP-1 class effects. No serious or severe AEs were reported. Two subjects treated with pemvidutide discontinued treatment due to AEs [1 (4.3%) at 1.8 mg and 1 (4.2%) at 2.4 mg], both secondary to gastrointestinal intolerability. No clinically significant ALT elevations (defined as an increase to 3-fold or greater the upper limit of normal) were observed. Glycemic control was unaffected, with no clinically meaningful changes in HbA1c or fasting glucose. Clinically meaningful reductions in systolic blood pressure were observed, along with the 2-3 beat per minute increase in heart rate typical for GLP-1 class of drugs.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317500</wp:posOffset>
            </wp:positionV>
            <wp:extent cx="5659755"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9755" cy="24130"/>
                    </a:xfrm>
                    <a:prstGeom prst="rect">
                      <a:avLst/>
                    </a:prstGeom>
                    <a:noFill/>
                  </pic:spPr>
                </pic:pic>
              </a:graphicData>
            </a:graphic>
          </wp:anchor>
        </w:drawing>
      </w:r>
    </w:p>
    <w:p>
      <w:pPr>
        <w:sectPr>
          <w:pgSz w:w="11900" w:h="16838" w:orient="portrait"/>
          <w:cols w:equalWidth="0" w:num="1">
            <w:col w:w="9019"/>
          </w:cols>
          <w:pgMar w:left="1440" w:top="145"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 Exhibits</w:t>
      </w:r>
    </w:p>
    <w:p>
      <w:pPr>
        <w:spacing w:after="0" w:line="219" w:lineRule="exact"/>
        <w:rPr>
          <w:sz w:val="20"/>
          <w:szCs w:val="20"/>
          <w:color w:val="auto"/>
        </w:rPr>
      </w:pPr>
    </w:p>
    <w:p>
      <w:pPr>
        <w:ind w:left="18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2540</wp:posOffset>
            </wp:positionV>
            <wp:extent cx="5659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9755" cy="8255"/>
                    </a:xfrm>
                    <a:prstGeom prst="rect">
                      <a:avLst/>
                    </a:prstGeom>
                    <a:noFill/>
                  </pic:spPr>
                </pic:pic>
              </a:graphicData>
            </a:graphic>
          </wp:anchor>
        </w:drawing>
      </w:r>
    </w:p>
    <w:p>
      <w:pPr>
        <w:spacing w:after="0" w:line="186" w:lineRule="exact"/>
        <w:rPr>
          <w:sz w:val="20"/>
          <w:szCs w:val="20"/>
          <w:color w:val="auto"/>
        </w:rPr>
      </w:pPr>
    </w:p>
    <w:p>
      <w:pPr>
        <w:ind w:left="40"/>
        <w:spacing w:after="0"/>
        <w:tabs>
          <w:tab w:leader="none" w:pos="840" w:val="left"/>
        </w:tabs>
        <w:rPr>
          <w:sz w:val="20"/>
          <w:szCs w:val="20"/>
          <w:color w:val="auto"/>
        </w:rPr>
      </w:pPr>
      <w:r>
        <w:rPr>
          <w:rFonts w:ascii="Times New Roman" w:cs="Times New Roman" w:eastAsia="Times New Roman" w:hAnsi="Times New Roman"/>
          <w:sz w:val="17"/>
          <w:szCs w:val="17"/>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Altimmune, Inc. dated September 14, 2022</w:t>
      </w:r>
    </w:p>
    <w:p>
      <w:pPr>
        <w:spacing w:after="0" w:line="125" w:lineRule="exact"/>
        <w:rPr>
          <w:sz w:val="20"/>
          <w:szCs w:val="20"/>
          <w:color w:val="auto"/>
        </w:rPr>
      </w:pPr>
    </w:p>
    <w:p>
      <w:pPr>
        <w:ind w:left="40"/>
        <w:spacing w:after="0"/>
        <w:tabs>
          <w:tab w:leader="none" w:pos="840" w:val="left"/>
        </w:tabs>
        <w:rPr>
          <w:sz w:val="20"/>
          <w:szCs w:val="20"/>
          <w:color w:val="auto"/>
        </w:rPr>
      </w:pPr>
      <w:r>
        <w:rPr>
          <w:rFonts w:ascii="Times New Roman" w:cs="Times New Roman" w:eastAsia="Times New Roman" w:hAnsi="Times New Roman"/>
          <w:sz w:val="17"/>
          <w:szCs w:val="17"/>
          <w:color w:val="auto"/>
        </w:rPr>
        <w:t>99.2</w:t>
      </w:r>
      <w:r>
        <w:rPr>
          <w:sz w:val="20"/>
          <w:szCs w:val="20"/>
          <w:color w:val="auto"/>
        </w:rPr>
        <w:tab/>
      </w:r>
      <w:r>
        <w:rPr>
          <w:rFonts w:ascii="Times New Roman" w:cs="Times New Roman" w:eastAsia="Times New Roman" w:hAnsi="Times New Roman"/>
          <w:sz w:val="17"/>
          <w:szCs w:val="17"/>
          <w:u w:val="single" w:color="auto"/>
          <w:color w:val="0000EE"/>
        </w:rPr>
        <w:t>Slide Presentation of Altimmune, Inc. dated September 14, 2022</w:t>
      </w:r>
    </w:p>
    <w:p>
      <w:pPr>
        <w:spacing w:after="0" w:line="125" w:lineRule="exact"/>
        <w:rPr>
          <w:sz w:val="20"/>
          <w:szCs w:val="20"/>
          <w:color w:val="auto"/>
        </w:rPr>
      </w:pPr>
    </w:p>
    <w:p>
      <w:pPr>
        <w:ind w:left="40"/>
        <w:spacing w:after="0"/>
        <w:tabs>
          <w:tab w:leader="none" w:pos="84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617855</wp:posOffset>
            </wp:positionV>
            <wp:extent cx="5659755"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9755" cy="2413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 w:name="page4"/>
    <w:bookmarkEnd w:id="3"/>
    <w:p>
      <w:pPr>
        <w:ind w:left="4320"/>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8" w:lineRule="exact"/>
        <w:rPr>
          <w:sz w:val="20"/>
          <w:szCs w:val="20"/>
          <w:color w:val="auto"/>
        </w:rPr>
      </w:pPr>
    </w:p>
    <w:p>
      <w:pPr>
        <w:ind w:left="40" w:right="159"/>
        <w:spacing w:after="0" w:line="28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36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ALTIMMUNE, INC.</w:t>
      </w:r>
    </w:p>
    <w:p>
      <w:pPr>
        <w:spacing w:after="0" w:line="218" w:lineRule="exact"/>
        <w:rPr>
          <w:sz w:val="20"/>
          <w:szCs w:val="20"/>
          <w:color w:val="auto"/>
        </w:rPr>
      </w:pPr>
    </w:p>
    <w:tbl>
      <w:tblPr>
        <w:tblLayout w:type="fixed"/>
        <w:tblInd w:w="4480" w:type="dxa"/>
        <w:tblCellMar>
          <w:top w:w="0" w:type="dxa"/>
          <w:left w:w="0" w:type="dxa"/>
          <w:bottom w:w="0" w:type="dxa"/>
          <w:right w:w="0" w:type="dxa"/>
        </w:tblCellMar>
      </w:tblPr>
      <w:tr>
        <w:trPr>
          <w:trHeight w:val="221"/>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Richard Eisenstadt</w:t>
            </w:r>
          </w:p>
        </w:tc>
      </w:tr>
      <w:tr>
        <w:trPr>
          <w:trHeight w:val="215"/>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Name: Richard Eisenstadt</w:t>
            </w:r>
          </w:p>
        </w:tc>
      </w:tr>
      <w:tr>
        <w:trPr>
          <w:trHeight w:val="227"/>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Title: Chief Financial Officer</w:t>
            </w:r>
          </w:p>
        </w:tc>
      </w:tr>
    </w:tbl>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Dated: September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480060</wp:posOffset>
            </wp:positionV>
            <wp:extent cx="5659755"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9755"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 w:name="page5"/>
    <w:bookmarkEnd w:id="4"/>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1042035</wp:posOffset>
            </wp:positionH>
            <wp:positionV relativeFrom="page">
              <wp:posOffset>88900</wp:posOffset>
            </wp:positionV>
            <wp:extent cx="1203325" cy="8616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03325" cy="861695"/>
                    </a:xfrm>
                    <a:prstGeom prst="rect">
                      <a:avLst/>
                    </a:prstGeom>
                    <a:noFill/>
                  </pic:spPr>
                </pic:pic>
              </a:graphicData>
            </a:graphic>
          </wp:anchor>
        </w:drawing>
      </w:r>
    </w:p>
    <w:p>
      <w:pPr>
        <w:ind w:left="7860"/>
        <w:spacing w:after="0"/>
        <w:rPr>
          <w:sz w:val="20"/>
          <w:szCs w:val="20"/>
          <w:color w:val="auto"/>
        </w:rPr>
      </w:pPr>
      <w:r>
        <w:rPr>
          <w:rFonts w:ascii="Calibri" w:cs="Calibri" w:eastAsia="Calibri" w:hAnsi="Calibri"/>
          <w:sz w:val="19"/>
          <w:szCs w:val="19"/>
          <w:b w:val="1"/>
          <w:bCs w:val="1"/>
          <w:color w:val="auto"/>
        </w:rPr>
        <w:t>Exhibit 99.1</w:t>
      </w:r>
    </w:p>
    <w:p>
      <w:pPr>
        <w:spacing w:after="0" w:line="85" w:lineRule="exact"/>
        <w:rPr>
          <w:sz w:val="20"/>
          <w:szCs w:val="20"/>
          <w:color w:val="auto"/>
        </w:rPr>
      </w:pPr>
    </w:p>
    <w:p>
      <w:pPr>
        <w:jc w:val="center"/>
        <w:ind w:left="200" w:right="219"/>
        <w:spacing w:after="0" w:line="237" w:lineRule="auto"/>
        <w:rPr>
          <w:sz w:val="20"/>
          <w:szCs w:val="20"/>
          <w:color w:val="auto"/>
        </w:rPr>
      </w:pPr>
      <w:r>
        <w:rPr>
          <w:rFonts w:ascii="Calibri" w:cs="Calibri" w:eastAsia="Calibri" w:hAnsi="Calibri"/>
          <w:sz w:val="24"/>
          <w:szCs w:val="24"/>
          <w:b w:val="1"/>
          <w:bCs w:val="1"/>
          <w:color w:val="auto"/>
        </w:rPr>
        <w:t>Altmmune Announces Signifcant Reductons in Liver Fat Content and Body Weight in 12-Week Phase 1b Clinical Trial of Pemvidutde in Subjects with NAFLD</w:t>
      </w:r>
    </w:p>
    <w:p>
      <w:pPr>
        <w:spacing w:after="0" w:line="283" w:lineRule="exact"/>
        <w:rPr>
          <w:sz w:val="20"/>
          <w:szCs w:val="20"/>
          <w:color w:val="auto"/>
        </w:rPr>
      </w:pPr>
    </w:p>
    <w:p>
      <w:pPr>
        <w:jc w:val="both"/>
        <w:ind w:left="820" w:right="419" w:hanging="308"/>
        <w:spacing w:after="0" w:line="235" w:lineRule="auto"/>
        <w:tabs>
          <w:tab w:leader="none" w:pos="820" w:val="left"/>
        </w:tabs>
        <w:numPr>
          <w:ilvl w:val="0"/>
          <w:numId w:val="2"/>
        </w:numPr>
        <w:rPr>
          <w:rFonts w:ascii="Times New Roman" w:cs="Times New Roman" w:eastAsia="Times New Roman" w:hAnsi="Times New Roman"/>
          <w:sz w:val="22"/>
          <w:szCs w:val="22"/>
          <w:color w:val="auto"/>
        </w:rPr>
      </w:pPr>
      <w:r>
        <w:rPr>
          <w:rFonts w:ascii="Calibri" w:cs="Calibri" w:eastAsia="Calibri" w:hAnsi="Calibri"/>
          <w:sz w:val="22"/>
          <w:szCs w:val="22"/>
          <w:i w:val="1"/>
          <w:iCs w:val="1"/>
          <w:color w:val="auto"/>
        </w:rPr>
        <w:t>All 3 pemvidutde dosing groups (1.2 mg, 1.8 mg, 2.4 mg) achieved the primary endpoint of relatve and absolute reductons in liver fat, with a 68.5% relatve reducton in liver fat content in subjects receiving 1.8 mg dose at 12 weeks of treatment</w:t>
      </w:r>
    </w:p>
    <w:p>
      <w:pPr>
        <w:spacing w:after="0" w:line="5" w:lineRule="exact"/>
        <w:rPr>
          <w:rFonts w:ascii="Times New Roman" w:cs="Times New Roman" w:eastAsia="Times New Roman" w:hAnsi="Times New Roman"/>
          <w:sz w:val="22"/>
          <w:szCs w:val="22"/>
          <w:color w:val="auto"/>
        </w:rPr>
      </w:pPr>
    </w:p>
    <w:p>
      <w:pPr>
        <w:ind w:left="820" w:right="419" w:hanging="308"/>
        <w:spacing w:after="0" w:line="238" w:lineRule="auto"/>
        <w:tabs>
          <w:tab w:leader="none" w:pos="820" w:val="left"/>
        </w:tabs>
        <w:numPr>
          <w:ilvl w:val="0"/>
          <w:numId w:val="2"/>
        </w:numPr>
        <w:rPr>
          <w:rFonts w:ascii="Times New Roman" w:cs="Times New Roman" w:eastAsia="Times New Roman" w:hAnsi="Times New Roman"/>
          <w:sz w:val="22"/>
          <w:szCs w:val="22"/>
          <w:color w:val="auto"/>
        </w:rPr>
      </w:pPr>
      <w:r>
        <w:rPr>
          <w:rFonts w:ascii="Calibri" w:cs="Calibri" w:eastAsia="Calibri" w:hAnsi="Calibri"/>
          <w:sz w:val="22"/>
          <w:szCs w:val="22"/>
          <w:i w:val="1"/>
          <w:iCs w:val="1"/>
          <w:color w:val="auto"/>
        </w:rPr>
        <w:t>Mean weight loss of 4.9% (placebo-adjusted 4.7%) in subjects without diabetes receiving 1.8 mg dose at 12 weeks of treatment</w:t>
      </w:r>
    </w:p>
    <w:p>
      <w:pPr>
        <w:ind w:left="820" w:hanging="308"/>
        <w:spacing w:after="0" w:line="228" w:lineRule="auto"/>
        <w:tabs>
          <w:tab w:leader="none" w:pos="820" w:val="left"/>
        </w:tabs>
        <w:numPr>
          <w:ilvl w:val="0"/>
          <w:numId w:val="2"/>
        </w:numPr>
        <w:rPr>
          <w:rFonts w:ascii="Times New Roman" w:cs="Times New Roman" w:eastAsia="Times New Roman" w:hAnsi="Times New Roman"/>
          <w:sz w:val="22"/>
          <w:szCs w:val="22"/>
          <w:color w:val="auto"/>
        </w:rPr>
      </w:pPr>
      <w:r>
        <w:rPr>
          <w:rFonts w:ascii="Calibri" w:cs="Calibri" w:eastAsia="Calibri" w:hAnsi="Calibri"/>
          <w:sz w:val="22"/>
          <w:szCs w:val="22"/>
          <w:i w:val="1"/>
          <w:iCs w:val="1"/>
          <w:color w:val="auto"/>
        </w:rPr>
        <w:t>Altmmune to host conference call today at 8:30 am ET</w:t>
      </w:r>
    </w:p>
    <w:p>
      <w:pPr>
        <w:spacing w:after="0" w:line="385" w:lineRule="exact"/>
        <w:rPr>
          <w:sz w:val="20"/>
          <w:szCs w:val="20"/>
          <w:color w:val="auto"/>
        </w:rPr>
      </w:pPr>
    </w:p>
    <w:p>
      <w:pPr>
        <w:jc w:val="both"/>
        <w:ind w:left="200" w:right="219"/>
        <w:spacing w:after="0" w:line="228" w:lineRule="auto"/>
        <w:rPr>
          <w:sz w:val="20"/>
          <w:szCs w:val="20"/>
          <w:color w:val="auto"/>
        </w:rPr>
      </w:pPr>
      <w:r>
        <w:rPr>
          <w:rFonts w:ascii="Calibri" w:cs="Calibri" w:eastAsia="Calibri" w:hAnsi="Calibri"/>
          <w:sz w:val="19"/>
          <w:szCs w:val="19"/>
          <w:b w:val="1"/>
          <w:bCs w:val="1"/>
          <w:color w:val="auto"/>
        </w:rPr>
        <w:t xml:space="preserve">GAITHERSBURG, MD, -- September 14, 2022 </w:t>
      </w:r>
      <w:r>
        <w:rPr>
          <w:rFonts w:ascii="Calibri" w:cs="Calibri" w:eastAsia="Calibri" w:hAnsi="Calibri"/>
          <w:sz w:val="19"/>
          <w:szCs w:val="19"/>
          <w:color w:val="auto"/>
        </w:rPr>
        <w:t>-- Altmmune, Inc. (Nasdaq: ALT), a clinical-stage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biopharmaceutcal company, today announced positve topline results from its 12-week Phase 1b study of pemvidutde</w:t>
      </w:r>
      <w:r>
        <w:rPr>
          <w:rFonts w:ascii="Calibri" w:cs="Calibri" w:eastAsia="Calibri" w:hAnsi="Calibri"/>
          <w:sz w:val="28"/>
          <w:szCs w:val="28"/>
          <w:color w:val="auto"/>
          <w:vertAlign w:val="superscript"/>
        </w:rPr>
        <w:t>1</w:t>
      </w:r>
      <w:r>
        <w:rPr>
          <w:rFonts w:ascii="Calibri" w:cs="Calibri" w:eastAsia="Calibri" w:hAnsi="Calibri"/>
          <w:sz w:val="19"/>
          <w:szCs w:val="19"/>
          <w:color w:val="auto"/>
        </w:rPr>
        <w:t xml:space="preserve"> in subjects with non-alcoholic faty liver disease (NAFLD).</w:t>
      </w:r>
    </w:p>
    <w:p>
      <w:pPr>
        <w:spacing w:after="0" w:line="118" w:lineRule="exact"/>
        <w:rPr>
          <w:sz w:val="20"/>
          <w:szCs w:val="20"/>
          <w:color w:val="auto"/>
        </w:rPr>
      </w:pPr>
    </w:p>
    <w:p>
      <w:pPr>
        <w:jc w:val="both"/>
        <w:ind w:left="200" w:right="219"/>
        <w:spacing w:after="0" w:line="247" w:lineRule="auto"/>
        <w:rPr>
          <w:sz w:val="20"/>
          <w:szCs w:val="20"/>
          <w:color w:val="auto"/>
        </w:rPr>
      </w:pPr>
      <w:r>
        <w:rPr>
          <w:rFonts w:ascii="Calibri" w:cs="Calibri" w:eastAsia="Calibri" w:hAnsi="Calibri"/>
          <w:sz w:val="19"/>
          <w:szCs w:val="19"/>
          <w:color w:val="auto"/>
        </w:rPr>
        <w:t>The trial was a randomized, double-blind, placebo-controlled study, with Dr. Stephen A. Harrison, Medical Director, Pinnacle Research, serving as the Principal Investgator</w:t>
      </w:r>
      <w:r>
        <w:rPr>
          <w:rFonts w:ascii="Calibri" w:cs="Calibri" w:eastAsia="Calibri" w:hAnsi="Calibri"/>
          <w:sz w:val="19"/>
          <w:szCs w:val="19"/>
          <w:color w:val="333333"/>
        </w:rPr>
        <w:t>.</w:t>
      </w:r>
      <w:r>
        <w:rPr>
          <w:rFonts w:ascii="Calibri" w:cs="Calibri" w:eastAsia="Calibri" w:hAnsi="Calibri"/>
          <w:sz w:val="19"/>
          <w:szCs w:val="19"/>
          <w:color w:val="auto"/>
        </w:rPr>
        <w:t xml:space="preserve"> Subjects were randomized 1:1:1:1 to 1.2 mg, 1.8 mg, 2.4 mg pemvidutde or placebo administered weekly for 12 weeks. No dose ttraton was used with 1.2 mg or 1.8 mg dose, while a short 4-week dose ttraton was employed at the 2.4 mg dose. The primary efcacy endpoint was the percent (%) reducton in liver fat content from baseline, and the key secondary efcacy endpoint was the % weight loss from baseline, both at 12 weeks of treatment. The trial was conducted without adjunctve diet and exercise interventons that are the standard for obesity trials.</w:t>
      </w:r>
    </w:p>
    <w:p>
      <w:pPr>
        <w:spacing w:after="0" w:line="147" w:lineRule="exact"/>
        <w:rPr>
          <w:sz w:val="20"/>
          <w:szCs w:val="20"/>
          <w:color w:val="auto"/>
        </w:rPr>
      </w:pPr>
    </w:p>
    <w:p>
      <w:pPr>
        <w:jc w:val="both"/>
        <w:ind w:left="200" w:right="219"/>
        <w:spacing w:after="0" w:line="217" w:lineRule="auto"/>
        <w:rPr>
          <w:sz w:val="20"/>
          <w:szCs w:val="20"/>
          <w:color w:val="auto"/>
        </w:rPr>
      </w:pPr>
      <w:r>
        <w:rPr>
          <w:rFonts w:ascii="Calibri" w:cs="Calibri" w:eastAsia="Calibri" w:hAnsi="Calibri"/>
          <w:sz w:val="19"/>
          <w:szCs w:val="19"/>
          <w:color w:val="auto"/>
        </w:rPr>
        <w:t>Ninety-four (94) subjects were randomized and treated at 13 sites across the U.S. Mean BMI at baseline was approximately 36 kg/m</w:t>
      </w:r>
      <w:r>
        <w:rPr>
          <w:rFonts w:ascii="Calibri" w:cs="Calibri" w:eastAsia="Calibri" w:hAnsi="Calibri"/>
          <w:sz w:val="28"/>
          <w:szCs w:val="28"/>
          <w:color w:val="auto"/>
          <w:vertAlign w:val="superscript"/>
        </w:rPr>
        <w:t>2</w:t>
      </w:r>
      <w:r>
        <w:rPr>
          <w:rFonts w:ascii="Calibri" w:cs="Calibri" w:eastAsia="Calibri" w:hAnsi="Calibri"/>
          <w:sz w:val="19"/>
          <w:szCs w:val="19"/>
          <w:color w:val="auto"/>
        </w:rPr>
        <w:t xml:space="preserve"> and mean liver fat content (LFC), as measured by MRI-PDFF, was approximately 22%. Twenty-seven (29%) subjects had type 2 diabetes at baseline, and approximately 75% of study subjects were of Hispanic ethnicity.</w:t>
      </w:r>
    </w:p>
    <w:p>
      <w:pPr>
        <w:spacing w:after="0" w:line="163" w:lineRule="exact"/>
        <w:rPr>
          <w:sz w:val="20"/>
          <w:szCs w:val="20"/>
          <w:color w:val="auto"/>
        </w:rPr>
      </w:pPr>
    </w:p>
    <w:p>
      <w:pPr>
        <w:jc w:val="both"/>
        <w:ind w:left="200" w:right="219"/>
        <w:spacing w:after="0" w:line="247" w:lineRule="auto"/>
        <w:rPr>
          <w:sz w:val="20"/>
          <w:szCs w:val="20"/>
          <w:color w:val="auto"/>
        </w:rPr>
      </w:pPr>
      <w:r>
        <w:rPr>
          <w:rFonts w:ascii="Calibri" w:cs="Calibri" w:eastAsia="Calibri" w:hAnsi="Calibri"/>
          <w:sz w:val="19"/>
          <w:szCs w:val="19"/>
          <w:color w:val="auto"/>
        </w:rPr>
        <w:t>The trial met its primary endpoint in all pemvidutde treatment groups. At the 1.8 mg dose (with and without diabetes), pemvidutde achieved a mean reducton of liver fat content of 68.5%, with 94.4% of subjects achieving a 30% reducton in liver fat, 72.2% achieving a 50% reducton in liver fat, and 55.6% of subjects achieving normalizaton of liver fat, defned as liver fat fracton of 5% or less. In additon, mean serum alanine aminotransferase (ALT) levels declined in all subjects, and in subjects with baseline serum ALT above 30 IU/L, levels declined more than 17 IU/L at all dose levels and 27.0 IU/L in the 2.4 mg dose cohort.</w:t>
      </w:r>
    </w:p>
    <w:p>
      <w:pPr>
        <w:spacing w:after="0" w:line="143" w:lineRule="exact"/>
        <w:rPr>
          <w:sz w:val="20"/>
          <w:szCs w:val="20"/>
          <w:color w:val="auto"/>
        </w:rPr>
      </w:pPr>
    </w:p>
    <w:p>
      <w:pPr>
        <w:jc w:val="both"/>
        <w:ind w:left="200" w:right="219"/>
        <w:spacing w:after="0" w:line="247" w:lineRule="auto"/>
        <w:rPr>
          <w:sz w:val="20"/>
          <w:szCs w:val="20"/>
          <w:color w:val="auto"/>
        </w:rPr>
      </w:pPr>
      <w:r>
        <w:rPr>
          <w:rFonts w:ascii="Calibri" w:cs="Calibri" w:eastAsia="Calibri" w:hAnsi="Calibri"/>
          <w:sz w:val="19"/>
          <w:szCs w:val="19"/>
          <w:color w:val="auto"/>
        </w:rPr>
        <w:t>The trial also met its key secondary endpoint in all pemvidutde treatment groups. Employing an efcacy estmand, mean weight losses of 4.9% (placebo-adjusted 4.7%) in subjects without diabetes and 4.4% in subjects with diabetes (placebo-adjusted 3.9%) were achieved at the 1.8 and 2.4 mg doses, respectvely.</w:t>
      </w:r>
    </w:p>
    <w:p>
      <w:pPr>
        <w:spacing w:after="0" w:line="189" w:lineRule="exact"/>
        <w:rPr>
          <w:sz w:val="20"/>
          <w:szCs w:val="20"/>
          <w:color w:val="auto"/>
        </w:rPr>
      </w:pPr>
    </w:p>
    <w:p>
      <w:pPr>
        <w:ind w:left="320" w:hanging="115"/>
        <w:spacing w:after="0"/>
        <w:tabs>
          <w:tab w:leader="none" w:pos="320" w:val="left"/>
        </w:tabs>
        <w:numPr>
          <w:ilvl w:val="0"/>
          <w:numId w:val="3"/>
        </w:numPr>
        <w:rPr>
          <w:rFonts w:ascii="Calibri" w:cs="Calibri" w:eastAsia="Calibri" w:hAnsi="Calibri"/>
          <w:sz w:val="28"/>
          <w:szCs w:val="28"/>
          <w:color w:val="auto"/>
          <w:vertAlign w:val="superscript"/>
        </w:rPr>
      </w:pPr>
      <w:r>
        <w:rPr>
          <w:rFonts w:ascii="Calibri" w:cs="Calibri" w:eastAsia="Calibri" w:hAnsi="Calibri"/>
          <w:sz w:val="19"/>
          <w:szCs w:val="19"/>
          <w:i w:val="1"/>
          <w:iCs w:val="1"/>
          <w:color w:val="auto"/>
        </w:rPr>
        <w:t>proposed 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483235</wp:posOffset>
            </wp:positionV>
            <wp:extent cx="5464175"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6417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1042035</wp:posOffset>
            </wp:positionH>
            <wp:positionV relativeFrom="page">
              <wp:posOffset>414020</wp:posOffset>
            </wp:positionV>
            <wp:extent cx="1203325" cy="8616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03325" cy="86169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both"/>
        <w:ind w:left="200" w:right="219"/>
        <w:spacing w:after="0" w:line="247" w:lineRule="auto"/>
        <w:rPr>
          <w:sz w:val="20"/>
          <w:szCs w:val="20"/>
          <w:color w:val="auto"/>
        </w:rPr>
      </w:pPr>
      <w:r>
        <w:rPr>
          <w:rFonts w:ascii="Calibri" w:cs="Calibri" w:eastAsia="Calibri" w:hAnsi="Calibri"/>
          <w:sz w:val="19"/>
          <w:szCs w:val="19"/>
          <w:color w:val="auto"/>
        </w:rPr>
        <w:t>Pemvidutde was reported to be generally well tolerated. Gastrointestnal events comprised the majority of the adverse events (AEs). Even without dose ttraton, the symptoms experienced by subjects were predominantly mild and transient in nature, consistent with known GLP-1 class efects. No serious or severe AEs were reported. Two subjects treated with pemvidutde discontnued treatment due to AEs [1 (4.3%) at 1.8 mg and 1 (4.2%) at 2.4 mg], both secondary to gastrointestnal intolerability. No clinically signifcant ALT elevatons (defned as an increase to 3-fold or greater the upper limit of normal) were observed. Glycemic control was unafected, with no clinically meaningful changes in HbA1c or fastng glucose. Clinically meaningful reductons in systolic blood pressure were observed, along with the 2-3 beat per minute increase in heart rate typical for GLP-1 class of drugs.</w:t>
      </w:r>
    </w:p>
    <w:p>
      <w:pPr>
        <w:spacing w:after="0" w:line="157" w:lineRule="exact"/>
        <w:rPr>
          <w:sz w:val="20"/>
          <w:szCs w:val="20"/>
          <w:color w:val="auto"/>
        </w:rPr>
      </w:pPr>
    </w:p>
    <w:p>
      <w:pPr>
        <w:jc w:val="both"/>
        <w:ind w:left="200" w:right="219"/>
        <w:spacing w:after="0" w:line="247" w:lineRule="auto"/>
        <w:rPr>
          <w:sz w:val="20"/>
          <w:szCs w:val="20"/>
          <w:color w:val="auto"/>
        </w:rPr>
      </w:pPr>
      <w:r>
        <w:rPr>
          <w:rFonts w:ascii="Calibri" w:cs="Calibri" w:eastAsia="Calibri" w:hAnsi="Calibri"/>
          <w:sz w:val="19"/>
          <w:szCs w:val="19"/>
          <w:color w:val="auto"/>
        </w:rPr>
        <w:t>“We are pleased with the results of this trial, including the extent of liver fat and serum ALT reductons. Weight loss was within our target range, and good tolerability was observed without the need for dose ttraton. In additon, no clinically signifcant ALT elevatons were observed,” said Vipin K. Garg, Ph.D., President and Chief Executve Ofcer of Altmmune. “With these positve results in hand, we look forward to reportng data from the 24-week NAFLD trial, as well as 24-week interim data from our MOMENTUM obesity trial.”</w:t>
      </w:r>
    </w:p>
    <w:p>
      <w:pPr>
        <w:spacing w:after="0" w:line="382" w:lineRule="exact"/>
        <w:rPr>
          <w:sz w:val="20"/>
          <w:szCs w:val="20"/>
          <w:color w:val="auto"/>
        </w:rPr>
      </w:pPr>
    </w:p>
    <w:p>
      <w:pPr>
        <w:jc w:val="both"/>
        <w:ind w:left="200" w:right="219"/>
        <w:spacing w:after="0" w:line="247" w:lineRule="auto"/>
        <w:rPr>
          <w:sz w:val="20"/>
          <w:szCs w:val="20"/>
          <w:color w:val="auto"/>
        </w:rPr>
      </w:pPr>
      <w:r>
        <w:rPr>
          <w:rFonts w:ascii="Calibri" w:cs="Calibri" w:eastAsia="Calibri" w:hAnsi="Calibri"/>
          <w:sz w:val="19"/>
          <w:szCs w:val="19"/>
          <w:color w:val="auto"/>
        </w:rPr>
        <w:t>Dr. Stephen Harrison, Principal Investgator, remarked, “Signifcant reductons in the liver fat fracton and serum ALT have been shown to correlate with improvement of non-alcoholic steatohepatts (NASH) in clinical trials. The marked decreases in both liver fat and serum ALT, together with approximately 5% weight loss in just 12 weeks in this NAFLD patent populaton, highlight pemvidutde as potentally a promising therapeutc for both NASH and obesity.” Dr. Harrison also noted, “It is important to recognize that the baseline liver fat content and demographics in this study diverged substantally from a typical obesity study populaton.”</w:t>
      </w:r>
    </w:p>
    <w:p>
      <w:pPr>
        <w:spacing w:after="0" w:line="134" w:lineRule="exact"/>
        <w:rPr>
          <w:sz w:val="20"/>
          <w:szCs w:val="20"/>
          <w:color w:val="auto"/>
        </w:rPr>
      </w:pPr>
    </w:p>
    <w:p>
      <w:pPr>
        <w:ind w:left="200"/>
        <w:spacing w:after="0"/>
        <w:rPr>
          <w:sz w:val="20"/>
          <w:szCs w:val="20"/>
          <w:color w:val="auto"/>
        </w:rPr>
      </w:pPr>
      <w:r>
        <w:rPr>
          <w:rFonts w:ascii="Calibri" w:cs="Calibri" w:eastAsia="Calibri" w:hAnsi="Calibri"/>
          <w:sz w:val="19"/>
          <w:szCs w:val="19"/>
          <w:b w:val="1"/>
          <w:bCs w:val="1"/>
          <w:color w:val="auto"/>
        </w:rPr>
        <w:t>Baseline Study Demographics</w:t>
      </w:r>
    </w:p>
    <w:p>
      <w:pPr>
        <w:spacing w:after="0" w:line="164" w:lineRule="exact"/>
        <w:rPr>
          <w:sz w:val="20"/>
          <w:szCs w:val="20"/>
          <w:color w:val="auto"/>
        </w:rPr>
      </w:pPr>
    </w:p>
    <w:tbl>
      <w:tblPr>
        <w:tblLayout w:type="fixed"/>
        <w:tblInd w:w="210" w:type="dxa"/>
        <w:tblCellMar>
          <w:top w:w="0" w:type="dxa"/>
          <w:left w:w="0" w:type="dxa"/>
          <w:bottom w:w="0" w:type="dxa"/>
          <w:right w:w="0" w:type="dxa"/>
        </w:tblCellMar>
      </w:tblPr>
      <w:tr>
        <w:trPr>
          <w:trHeight w:val="236"/>
        </w:trPr>
        <w:tc>
          <w:tcPr>
            <w:tcW w:w="1980" w:type="dxa"/>
            <w:vAlign w:val="bottom"/>
            <w:tcBorders>
              <w:top w:val="single" w:sz="8" w:color="auto"/>
              <w:left w:val="single" w:sz="8" w:color="auto"/>
            </w:tcBorders>
          </w:tcPr>
          <w:p>
            <w:pPr>
              <w:spacing w:after="0"/>
              <w:rPr>
                <w:sz w:val="20"/>
                <w:szCs w:val="20"/>
                <w:color w:val="auto"/>
              </w:rPr>
            </w:pPr>
          </w:p>
        </w:tc>
        <w:tc>
          <w:tcPr>
            <w:tcW w:w="1840" w:type="dxa"/>
            <w:vAlign w:val="bottom"/>
            <w:tcBorders>
              <w:top w:val="single" w:sz="8" w:color="auto"/>
              <w:right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gridSpan w:val="2"/>
          </w:tcPr>
          <w:p>
            <w:pPr>
              <w:ind w:left="780"/>
              <w:spacing w:after="0"/>
              <w:rPr>
                <w:sz w:val="20"/>
                <w:szCs w:val="20"/>
                <w:color w:val="auto"/>
              </w:rPr>
            </w:pPr>
            <w:r>
              <w:rPr>
                <w:rFonts w:ascii="Calibri" w:cs="Calibri" w:eastAsia="Calibri" w:hAnsi="Calibri"/>
                <w:sz w:val="19"/>
                <w:szCs w:val="19"/>
                <w:b w:val="1"/>
                <w:bCs w:val="1"/>
                <w:color w:val="auto"/>
              </w:rPr>
              <w:t>Treatment</w:t>
            </w:r>
          </w:p>
        </w:tc>
        <w:tc>
          <w:tcPr>
            <w:tcW w:w="1200" w:type="dxa"/>
            <w:vAlign w:val="bottom"/>
            <w:tcBorders>
              <w:top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3820" w:type="dxa"/>
            <w:vAlign w:val="bottom"/>
            <w:tcBorders>
              <w:left w:val="single" w:sz="8" w:color="auto"/>
              <w:right w:val="single" w:sz="8" w:color="auto"/>
            </w:tcBorders>
            <w:gridSpan w:val="2"/>
            <w:vMerge w:val="restart"/>
          </w:tcPr>
          <w:p>
            <w:pPr>
              <w:ind w:left="1360"/>
              <w:spacing w:after="0"/>
              <w:rPr>
                <w:sz w:val="20"/>
                <w:szCs w:val="20"/>
                <w:color w:val="auto"/>
              </w:rPr>
            </w:pPr>
            <w:r>
              <w:rPr>
                <w:rFonts w:ascii="Calibri" w:cs="Calibri" w:eastAsia="Calibri" w:hAnsi="Calibri"/>
                <w:sz w:val="19"/>
                <w:szCs w:val="19"/>
                <w:b w:val="1"/>
                <w:bCs w:val="1"/>
                <w:color w:val="auto"/>
              </w:rPr>
              <w:t>Characteristc</w:t>
            </w:r>
          </w:p>
        </w:tc>
        <w:tc>
          <w:tcPr>
            <w:tcW w:w="1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3820" w:type="dxa"/>
            <w:vAlign w:val="bottom"/>
            <w:tcBorders>
              <w:left w:val="single" w:sz="8" w:color="auto"/>
              <w:right w:val="single" w:sz="8" w:color="auto"/>
            </w:tcBorders>
            <w:gridSpan w:val="2"/>
            <w:vMerge w:val="continue"/>
          </w:tcPr>
          <w:p>
            <w:pPr>
              <w:spacing w:after="0"/>
              <w:rPr>
                <w:sz w:val="16"/>
                <w:szCs w:val="16"/>
                <w:color w:val="auto"/>
              </w:rPr>
            </w:pPr>
          </w:p>
        </w:tc>
        <w:tc>
          <w:tcPr>
            <w:tcW w:w="1180" w:type="dxa"/>
            <w:vAlign w:val="bottom"/>
            <w:tcBorders>
              <w:right w:val="single" w:sz="8" w:color="auto"/>
            </w:tcBorders>
          </w:tcPr>
          <w:p>
            <w:pPr>
              <w:ind w:left="260"/>
              <w:spacing w:after="0" w:line="187" w:lineRule="exact"/>
              <w:rPr>
                <w:sz w:val="20"/>
                <w:szCs w:val="20"/>
                <w:color w:val="auto"/>
              </w:rPr>
            </w:pPr>
            <w:r>
              <w:rPr>
                <w:rFonts w:ascii="Calibri" w:cs="Calibri" w:eastAsia="Calibri" w:hAnsi="Calibri"/>
                <w:sz w:val="19"/>
                <w:szCs w:val="19"/>
                <w:b w:val="1"/>
                <w:bCs w:val="1"/>
                <w:color w:val="auto"/>
              </w:rPr>
              <w:t>Placebo</w:t>
            </w:r>
          </w:p>
        </w:tc>
        <w:tc>
          <w:tcPr>
            <w:tcW w:w="1200" w:type="dxa"/>
            <w:vAlign w:val="bottom"/>
            <w:tcBorders>
              <w:right w:val="single" w:sz="8" w:color="auto"/>
            </w:tcBorders>
          </w:tcPr>
          <w:p>
            <w:pPr>
              <w:ind w:left="320"/>
              <w:spacing w:after="0" w:line="187" w:lineRule="exact"/>
              <w:rPr>
                <w:sz w:val="20"/>
                <w:szCs w:val="20"/>
                <w:color w:val="auto"/>
              </w:rPr>
            </w:pPr>
            <w:r>
              <w:rPr>
                <w:rFonts w:ascii="Calibri" w:cs="Calibri" w:eastAsia="Calibri" w:hAnsi="Calibri"/>
                <w:sz w:val="19"/>
                <w:szCs w:val="19"/>
                <w:b w:val="1"/>
                <w:bCs w:val="1"/>
                <w:color w:val="auto"/>
              </w:rPr>
              <w:t>1.2 mg</w:t>
            </w:r>
          </w:p>
        </w:tc>
        <w:tc>
          <w:tcPr>
            <w:tcW w:w="1180" w:type="dxa"/>
            <w:vAlign w:val="bottom"/>
            <w:tcBorders>
              <w:right w:val="single" w:sz="8" w:color="auto"/>
            </w:tcBorders>
          </w:tcPr>
          <w:p>
            <w:pPr>
              <w:ind w:left="320"/>
              <w:spacing w:after="0" w:line="187" w:lineRule="exact"/>
              <w:rPr>
                <w:sz w:val="20"/>
                <w:szCs w:val="20"/>
                <w:color w:val="auto"/>
              </w:rPr>
            </w:pPr>
            <w:r>
              <w:rPr>
                <w:rFonts w:ascii="Calibri" w:cs="Calibri" w:eastAsia="Calibri" w:hAnsi="Calibri"/>
                <w:sz w:val="19"/>
                <w:szCs w:val="19"/>
                <w:b w:val="1"/>
                <w:bCs w:val="1"/>
                <w:color w:val="auto"/>
              </w:rPr>
              <w:t>1.8 mg</w:t>
            </w:r>
          </w:p>
        </w:tc>
        <w:tc>
          <w:tcPr>
            <w:tcW w:w="1200" w:type="dxa"/>
            <w:vAlign w:val="bottom"/>
            <w:tcBorders>
              <w:right w:val="single" w:sz="8" w:color="auto"/>
            </w:tcBorders>
          </w:tcPr>
          <w:p>
            <w:pPr>
              <w:ind w:left="320"/>
              <w:spacing w:after="0" w:line="187" w:lineRule="exact"/>
              <w:rPr>
                <w:sz w:val="20"/>
                <w:szCs w:val="20"/>
                <w:color w:val="auto"/>
              </w:rPr>
            </w:pPr>
            <w:r>
              <w:rPr>
                <w:rFonts w:ascii="Calibri" w:cs="Calibri" w:eastAsia="Calibri" w:hAnsi="Calibri"/>
                <w:sz w:val="19"/>
                <w:szCs w:val="19"/>
                <w:b w:val="1"/>
                <w:bCs w:val="1"/>
                <w:color w:val="auto"/>
              </w:rPr>
              <w:t>2.4 mg</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tcBorders>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ind w:left="280"/>
              <w:spacing w:after="0" w:line="223" w:lineRule="exact"/>
              <w:rPr>
                <w:sz w:val="20"/>
                <w:szCs w:val="20"/>
                <w:color w:val="auto"/>
              </w:rPr>
            </w:pPr>
            <w:r>
              <w:rPr>
                <w:rFonts w:ascii="Calibri" w:cs="Calibri" w:eastAsia="Calibri" w:hAnsi="Calibri"/>
                <w:sz w:val="19"/>
                <w:szCs w:val="19"/>
                <w:b w:val="1"/>
                <w:bCs w:val="1"/>
                <w:color w:val="auto"/>
              </w:rPr>
              <w:t>(n = 24)</w:t>
            </w:r>
          </w:p>
        </w:tc>
        <w:tc>
          <w:tcPr>
            <w:tcW w:w="1200" w:type="dxa"/>
            <w:vAlign w:val="bottom"/>
            <w:tcBorders>
              <w:right w:val="single" w:sz="8" w:color="auto"/>
            </w:tcBorders>
          </w:tcPr>
          <w:p>
            <w:pPr>
              <w:jc w:val="center"/>
              <w:spacing w:after="0" w:line="223" w:lineRule="exact"/>
              <w:rPr>
                <w:sz w:val="20"/>
                <w:szCs w:val="20"/>
                <w:color w:val="auto"/>
              </w:rPr>
            </w:pPr>
            <w:r>
              <w:rPr>
                <w:rFonts w:ascii="Calibri" w:cs="Calibri" w:eastAsia="Calibri" w:hAnsi="Calibri"/>
                <w:sz w:val="19"/>
                <w:szCs w:val="19"/>
                <w:b w:val="1"/>
                <w:bCs w:val="1"/>
                <w:color w:val="auto"/>
                <w:w w:val="98"/>
              </w:rPr>
              <w:t>(n=23)</w:t>
            </w:r>
          </w:p>
        </w:tc>
        <w:tc>
          <w:tcPr>
            <w:tcW w:w="1180" w:type="dxa"/>
            <w:vAlign w:val="bottom"/>
            <w:tcBorders>
              <w:right w:val="single" w:sz="8" w:color="auto"/>
            </w:tcBorders>
          </w:tcPr>
          <w:p>
            <w:pPr>
              <w:jc w:val="center"/>
              <w:spacing w:after="0" w:line="223" w:lineRule="exact"/>
              <w:rPr>
                <w:sz w:val="20"/>
                <w:szCs w:val="20"/>
                <w:color w:val="auto"/>
              </w:rPr>
            </w:pPr>
            <w:r>
              <w:rPr>
                <w:rFonts w:ascii="Calibri" w:cs="Calibri" w:eastAsia="Calibri" w:hAnsi="Calibri"/>
                <w:sz w:val="19"/>
                <w:szCs w:val="19"/>
                <w:b w:val="1"/>
                <w:bCs w:val="1"/>
                <w:color w:val="auto"/>
              </w:rPr>
              <w:t>(n=23)</w:t>
            </w:r>
          </w:p>
        </w:tc>
        <w:tc>
          <w:tcPr>
            <w:tcW w:w="1200" w:type="dxa"/>
            <w:vAlign w:val="bottom"/>
            <w:tcBorders>
              <w:right w:val="single" w:sz="8" w:color="auto"/>
            </w:tcBorders>
          </w:tcPr>
          <w:p>
            <w:pPr>
              <w:jc w:val="center"/>
              <w:spacing w:after="0" w:line="223" w:lineRule="exact"/>
              <w:rPr>
                <w:sz w:val="20"/>
                <w:szCs w:val="20"/>
                <w:color w:val="auto"/>
              </w:rPr>
            </w:pPr>
            <w:r>
              <w:rPr>
                <w:rFonts w:ascii="Calibri" w:cs="Calibri" w:eastAsia="Calibri" w:hAnsi="Calibri"/>
                <w:sz w:val="19"/>
                <w:szCs w:val="19"/>
                <w:b w:val="1"/>
                <w:bCs w:val="1"/>
                <w:color w:val="auto"/>
              </w:rPr>
              <w:t>(n=24)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1980" w:type="dxa"/>
            <w:vAlign w:val="bottom"/>
            <w:tcBorders>
              <w:left w:val="single" w:sz="8" w:color="auto"/>
              <w:bottom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980" w:type="dxa"/>
            <w:vAlign w:val="bottom"/>
            <w:tcBorders>
              <w:left w:val="single" w:sz="8" w:color="auto"/>
            </w:tcBorders>
          </w:tcPr>
          <w:p>
            <w:pPr>
              <w:ind w:left="240"/>
              <w:spacing w:after="0" w:line="218" w:lineRule="exact"/>
              <w:rPr>
                <w:sz w:val="20"/>
                <w:szCs w:val="20"/>
                <w:color w:val="auto"/>
              </w:rPr>
            </w:pPr>
            <w:r>
              <w:rPr>
                <w:rFonts w:ascii="Calibri" w:cs="Calibri" w:eastAsia="Calibri" w:hAnsi="Calibri"/>
                <w:sz w:val="19"/>
                <w:szCs w:val="19"/>
                <w:b w:val="1"/>
                <w:bCs w:val="1"/>
                <w:color w:val="auto"/>
              </w:rPr>
              <w:t xml:space="preserve">Age, </w:t>
            </w:r>
            <w:r>
              <w:rPr>
                <w:rFonts w:ascii="Calibri" w:cs="Calibri" w:eastAsia="Calibri" w:hAnsi="Calibri"/>
                <w:sz w:val="19"/>
                <w:szCs w:val="19"/>
                <w:color w:val="auto"/>
              </w:rPr>
              <w:t>years</w:t>
            </w:r>
          </w:p>
        </w:tc>
        <w:tc>
          <w:tcPr>
            <w:tcW w:w="1840" w:type="dxa"/>
            <w:vAlign w:val="bottom"/>
            <w:tcBorders>
              <w:right w:val="single" w:sz="8" w:color="auto"/>
            </w:tcBorders>
          </w:tcPr>
          <w:p>
            <w:pPr>
              <w:ind w:left="120"/>
              <w:spacing w:after="0" w:line="218" w:lineRule="exact"/>
              <w:rPr>
                <w:sz w:val="20"/>
                <w:szCs w:val="20"/>
                <w:color w:val="auto"/>
              </w:rPr>
            </w:pPr>
            <w:r>
              <w:rPr>
                <w:rFonts w:ascii="Calibri" w:cs="Calibri" w:eastAsia="Calibri" w:hAnsi="Calibri"/>
                <w:sz w:val="19"/>
                <w:szCs w:val="19"/>
                <w:color w:val="auto"/>
              </w:rPr>
              <w:t>mean (SD)</w:t>
            </w:r>
          </w:p>
        </w:tc>
        <w:tc>
          <w:tcPr>
            <w:tcW w:w="11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47.9 (14)</w:t>
            </w:r>
          </w:p>
        </w:tc>
        <w:tc>
          <w:tcPr>
            <w:tcW w:w="120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48.6 (11)</w:t>
            </w:r>
          </w:p>
        </w:tc>
        <w:tc>
          <w:tcPr>
            <w:tcW w:w="11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50.3 (9)</w:t>
            </w:r>
          </w:p>
        </w:tc>
        <w:tc>
          <w:tcPr>
            <w:tcW w:w="120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48.8 (8)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980" w:type="dxa"/>
            <w:vAlign w:val="bottom"/>
            <w:tcBorders>
              <w:left w:val="single" w:sz="8" w:color="auto"/>
              <w:bottom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980" w:type="dxa"/>
            <w:vAlign w:val="bottom"/>
            <w:tcBorders>
              <w:left w:val="single" w:sz="8" w:color="auto"/>
            </w:tcBorders>
          </w:tcPr>
          <w:p>
            <w:pPr>
              <w:ind w:left="240"/>
              <w:spacing w:after="0" w:line="218" w:lineRule="exact"/>
              <w:rPr>
                <w:sz w:val="20"/>
                <w:szCs w:val="20"/>
                <w:color w:val="auto"/>
              </w:rPr>
            </w:pPr>
            <w:r>
              <w:rPr>
                <w:rFonts w:ascii="Calibri" w:cs="Calibri" w:eastAsia="Calibri" w:hAnsi="Calibri"/>
                <w:sz w:val="19"/>
                <w:szCs w:val="19"/>
                <w:b w:val="1"/>
                <w:bCs w:val="1"/>
                <w:color w:val="auto"/>
              </w:rPr>
              <w:t>Sex</w:t>
            </w:r>
          </w:p>
        </w:tc>
        <w:tc>
          <w:tcPr>
            <w:tcW w:w="1840" w:type="dxa"/>
            <w:vAlign w:val="bottom"/>
            <w:tcBorders>
              <w:right w:val="single" w:sz="8" w:color="auto"/>
            </w:tcBorders>
          </w:tcPr>
          <w:p>
            <w:pPr>
              <w:ind w:left="120"/>
              <w:spacing w:after="0" w:line="218" w:lineRule="exact"/>
              <w:rPr>
                <w:sz w:val="20"/>
                <w:szCs w:val="20"/>
                <w:color w:val="auto"/>
              </w:rPr>
            </w:pPr>
            <w:r>
              <w:rPr>
                <w:rFonts w:ascii="Calibri" w:cs="Calibri" w:eastAsia="Calibri" w:hAnsi="Calibri"/>
                <w:sz w:val="19"/>
                <w:szCs w:val="19"/>
                <w:color w:val="auto"/>
              </w:rPr>
              <w:t>female, n (%)</w:t>
            </w:r>
          </w:p>
        </w:tc>
        <w:tc>
          <w:tcPr>
            <w:tcW w:w="11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14 (58.3%)</w:t>
            </w:r>
          </w:p>
        </w:tc>
        <w:tc>
          <w:tcPr>
            <w:tcW w:w="120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9 (39.1%)</w:t>
            </w:r>
          </w:p>
        </w:tc>
        <w:tc>
          <w:tcPr>
            <w:tcW w:w="11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12 (52.2%)</w:t>
            </w:r>
          </w:p>
        </w:tc>
        <w:tc>
          <w:tcPr>
            <w:tcW w:w="120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15 (62.5%)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980" w:type="dxa"/>
            <w:vAlign w:val="bottom"/>
            <w:tcBorders>
              <w:left w:val="single" w:sz="8" w:color="auto"/>
              <w:bottom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980" w:type="dxa"/>
            <w:vAlign w:val="bottom"/>
            <w:tcBorders>
              <w:left w:val="single" w:sz="8" w:color="auto"/>
            </w:tcBorders>
            <w:vMerge w:val="restart"/>
          </w:tcPr>
          <w:p>
            <w:pPr>
              <w:ind w:left="240"/>
              <w:spacing w:after="0"/>
              <w:rPr>
                <w:sz w:val="20"/>
                <w:szCs w:val="20"/>
                <w:color w:val="auto"/>
              </w:rPr>
            </w:pPr>
            <w:r>
              <w:rPr>
                <w:rFonts w:ascii="Calibri" w:cs="Calibri" w:eastAsia="Calibri" w:hAnsi="Calibri"/>
                <w:sz w:val="19"/>
                <w:szCs w:val="19"/>
                <w:b w:val="1"/>
                <w:bCs w:val="1"/>
                <w:color w:val="auto"/>
              </w:rPr>
              <w:t>Race</w:t>
            </w:r>
          </w:p>
        </w:tc>
        <w:tc>
          <w:tcPr>
            <w:tcW w:w="1840" w:type="dxa"/>
            <w:vAlign w:val="bottom"/>
            <w:tcBorders>
              <w:right w:val="single" w:sz="8" w:color="auto"/>
            </w:tcBorders>
          </w:tcPr>
          <w:p>
            <w:pPr>
              <w:ind w:left="120"/>
              <w:spacing w:after="0" w:line="218" w:lineRule="exact"/>
              <w:rPr>
                <w:sz w:val="20"/>
                <w:szCs w:val="20"/>
                <w:color w:val="auto"/>
              </w:rPr>
            </w:pPr>
            <w:r>
              <w:rPr>
                <w:rFonts w:ascii="Calibri" w:cs="Calibri" w:eastAsia="Calibri" w:hAnsi="Calibri"/>
                <w:sz w:val="19"/>
                <w:szCs w:val="19"/>
                <w:color w:val="auto"/>
              </w:rPr>
              <w:t>white, n (%)</w:t>
            </w:r>
          </w:p>
        </w:tc>
        <w:tc>
          <w:tcPr>
            <w:tcW w:w="11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21 (87.5%)</w:t>
            </w:r>
          </w:p>
        </w:tc>
        <w:tc>
          <w:tcPr>
            <w:tcW w:w="120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w w:val="99"/>
              </w:rPr>
              <w:t>21 (91.3%)</w:t>
            </w:r>
          </w:p>
        </w:tc>
        <w:tc>
          <w:tcPr>
            <w:tcW w:w="11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20 (87.0%)</w:t>
            </w:r>
          </w:p>
        </w:tc>
        <w:tc>
          <w:tcPr>
            <w:tcW w:w="120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24 (100%)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980" w:type="dxa"/>
            <w:vAlign w:val="bottom"/>
            <w:tcBorders>
              <w:left w:val="single" w:sz="8" w:color="auto"/>
            </w:tcBorders>
            <w:vMerge w:val="continue"/>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1980" w:type="dxa"/>
            <w:vAlign w:val="bottom"/>
            <w:tcBorders>
              <w:left w:val="single" w:sz="8" w:color="auto"/>
            </w:tcBorders>
            <w:vMerge w:val="continue"/>
          </w:tcPr>
          <w:p>
            <w:pPr>
              <w:spacing w:after="0"/>
              <w:rPr>
                <w:sz w:val="6"/>
                <w:szCs w:val="6"/>
                <w:color w:val="auto"/>
              </w:rPr>
            </w:pPr>
          </w:p>
        </w:tc>
        <w:tc>
          <w:tcPr>
            <w:tcW w:w="1840" w:type="dxa"/>
            <w:vAlign w:val="bottom"/>
            <w:tcBorders>
              <w:right w:val="single" w:sz="8" w:color="auto"/>
            </w:tcBorders>
            <w:vMerge w:val="restart"/>
          </w:tcPr>
          <w:p>
            <w:pPr>
              <w:ind w:left="120"/>
              <w:spacing w:after="0" w:line="218" w:lineRule="exact"/>
              <w:rPr>
                <w:sz w:val="20"/>
                <w:szCs w:val="20"/>
                <w:color w:val="auto"/>
              </w:rPr>
            </w:pPr>
            <w:r>
              <w:rPr>
                <w:rFonts w:ascii="Calibri" w:cs="Calibri" w:eastAsia="Calibri" w:hAnsi="Calibri"/>
                <w:sz w:val="19"/>
                <w:szCs w:val="19"/>
                <w:color w:val="auto"/>
              </w:rPr>
              <w:t>other, n (%)</w:t>
            </w:r>
          </w:p>
        </w:tc>
        <w:tc>
          <w:tcPr>
            <w:tcW w:w="1180" w:type="dxa"/>
            <w:vAlign w:val="bottom"/>
            <w:tcBorders>
              <w:right w:val="single" w:sz="8" w:color="auto"/>
            </w:tcBorders>
            <w:vMerge w:val="restart"/>
          </w:tcPr>
          <w:p>
            <w:pPr>
              <w:jc w:val="center"/>
              <w:spacing w:after="0" w:line="218" w:lineRule="exact"/>
              <w:rPr>
                <w:sz w:val="20"/>
                <w:szCs w:val="20"/>
                <w:color w:val="auto"/>
              </w:rPr>
            </w:pPr>
            <w:r>
              <w:rPr>
                <w:rFonts w:ascii="Calibri" w:cs="Calibri" w:eastAsia="Calibri" w:hAnsi="Calibri"/>
                <w:sz w:val="19"/>
                <w:szCs w:val="19"/>
                <w:color w:val="auto"/>
              </w:rPr>
              <w:t>3 (12.5%)</w:t>
            </w:r>
          </w:p>
        </w:tc>
        <w:tc>
          <w:tcPr>
            <w:tcW w:w="1200" w:type="dxa"/>
            <w:vAlign w:val="bottom"/>
            <w:tcBorders>
              <w:right w:val="single" w:sz="8" w:color="auto"/>
            </w:tcBorders>
            <w:vMerge w:val="restart"/>
          </w:tcPr>
          <w:p>
            <w:pPr>
              <w:jc w:val="center"/>
              <w:spacing w:after="0" w:line="218" w:lineRule="exact"/>
              <w:rPr>
                <w:sz w:val="20"/>
                <w:szCs w:val="20"/>
                <w:color w:val="auto"/>
              </w:rPr>
            </w:pPr>
            <w:r>
              <w:rPr>
                <w:rFonts w:ascii="Calibri" w:cs="Calibri" w:eastAsia="Calibri" w:hAnsi="Calibri"/>
                <w:sz w:val="19"/>
                <w:szCs w:val="19"/>
                <w:color w:val="auto"/>
              </w:rPr>
              <w:t>2 (8.7%)</w:t>
            </w:r>
          </w:p>
        </w:tc>
        <w:tc>
          <w:tcPr>
            <w:tcW w:w="1180" w:type="dxa"/>
            <w:vAlign w:val="bottom"/>
            <w:tcBorders>
              <w:right w:val="single" w:sz="8" w:color="auto"/>
            </w:tcBorders>
            <w:vMerge w:val="restart"/>
          </w:tcPr>
          <w:p>
            <w:pPr>
              <w:jc w:val="center"/>
              <w:spacing w:after="0" w:line="218" w:lineRule="exact"/>
              <w:rPr>
                <w:sz w:val="20"/>
                <w:szCs w:val="20"/>
                <w:color w:val="auto"/>
              </w:rPr>
            </w:pPr>
            <w:r>
              <w:rPr>
                <w:rFonts w:ascii="Calibri" w:cs="Calibri" w:eastAsia="Calibri" w:hAnsi="Calibri"/>
                <w:sz w:val="19"/>
                <w:szCs w:val="19"/>
                <w:color w:val="auto"/>
                <w:w w:val="98"/>
              </w:rPr>
              <w:t>3 (13.0%)</w:t>
            </w:r>
          </w:p>
        </w:tc>
        <w:tc>
          <w:tcPr>
            <w:tcW w:w="1200" w:type="dxa"/>
            <w:vAlign w:val="bottom"/>
            <w:tcBorders>
              <w:right w:val="single" w:sz="8" w:color="auto"/>
            </w:tcBorders>
            <w:vMerge w:val="restart"/>
          </w:tcPr>
          <w:p>
            <w:pPr>
              <w:jc w:val="center"/>
              <w:spacing w:after="0" w:line="218" w:lineRule="exact"/>
              <w:rPr>
                <w:sz w:val="20"/>
                <w:szCs w:val="20"/>
                <w:color w:val="auto"/>
              </w:rPr>
            </w:pPr>
            <w:r>
              <w:rPr>
                <w:rFonts w:ascii="Calibri" w:cs="Calibri" w:eastAsia="Calibri" w:hAnsi="Calibri"/>
                <w:sz w:val="19"/>
                <w:szCs w:val="19"/>
                <w:color w:val="auto"/>
              </w:rPr>
              <w:t>0 (0.0%)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980" w:type="dxa"/>
            <w:vAlign w:val="bottom"/>
            <w:tcBorders>
              <w:left w:val="single" w:sz="8" w:color="auto"/>
            </w:tcBorders>
          </w:tcPr>
          <w:p>
            <w:pPr>
              <w:spacing w:after="0"/>
              <w:rPr>
                <w:sz w:val="12"/>
                <w:szCs w:val="12"/>
                <w:color w:val="auto"/>
              </w:rPr>
            </w:pPr>
          </w:p>
        </w:tc>
        <w:tc>
          <w:tcPr>
            <w:tcW w:w="184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980" w:type="dxa"/>
            <w:vAlign w:val="bottom"/>
            <w:tcBorders>
              <w:left w:val="single" w:sz="8" w:color="auto"/>
              <w:bottom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980" w:type="dxa"/>
            <w:vAlign w:val="bottom"/>
            <w:tcBorders>
              <w:left w:val="single" w:sz="8" w:color="auto"/>
            </w:tcBorders>
            <w:vMerge w:val="restart"/>
          </w:tcPr>
          <w:p>
            <w:pPr>
              <w:ind w:left="240"/>
              <w:spacing w:after="0"/>
              <w:rPr>
                <w:sz w:val="20"/>
                <w:szCs w:val="20"/>
                <w:color w:val="auto"/>
              </w:rPr>
            </w:pPr>
            <w:r>
              <w:rPr>
                <w:rFonts w:ascii="Calibri" w:cs="Calibri" w:eastAsia="Calibri" w:hAnsi="Calibri"/>
                <w:sz w:val="19"/>
                <w:szCs w:val="19"/>
                <w:b w:val="1"/>
                <w:bCs w:val="1"/>
                <w:color w:val="auto"/>
              </w:rPr>
              <w:t>Ethnicity</w:t>
            </w:r>
          </w:p>
        </w:tc>
        <w:tc>
          <w:tcPr>
            <w:tcW w:w="1840" w:type="dxa"/>
            <w:vAlign w:val="bottom"/>
            <w:tcBorders>
              <w:right w:val="single" w:sz="8" w:color="auto"/>
            </w:tcBorders>
          </w:tcPr>
          <w:p>
            <w:pPr>
              <w:ind w:left="120"/>
              <w:spacing w:after="0" w:line="218" w:lineRule="exact"/>
              <w:rPr>
                <w:sz w:val="20"/>
                <w:szCs w:val="20"/>
                <w:color w:val="auto"/>
              </w:rPr>
            </w:pPr>
            <w:r>
              <w:rPr>
                <w:rFonts w:ascii="Calibri" w:cs="Calibri" w:eastAsia="Calibri" w:hAnsi="Calibri"/>
                <w:sz w:val="19"/>
                <w:szCs w:val="19"/>
                <w:color w:val="auto"/>
              </w:rPr>
              <w:t>Hispanic, n (%)</w:t>
            </w:r>
          </w:p>
        </w:tc>
        <w:tc>
          <w:tcPr>
            <w:tcW w:w="11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14 (58.3%)</w:t>
            </w:r>
          </w:p>
        </w:tc>
        <w:tc>
          <w:tcPr>
            <w:tcW w:w="120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w w:val="99"/>
              </w:rPr>
              <w:t>20 (87.0%)</w:t>
            </w:r>
          </w:p>
        </w:tc>
        <w:tc>
          <w:tcPr>
            <w:tcW w:w="11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19 (82.6%)</w:t>
            </w:r>
          </w:p>
        </w:tc>
        <w:tc>
          <w:tcPr>
            <w:tcW w:w="120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18 (75.0%)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980" w:type="dxa"/>
            <w:vAlign w:val="bottom"/>
            <w:tcBorders>
              <w:left w:val="single" w:sz="8" w:color="auto"/>
            </w:tcBorders>
            <w:vMerge w:val="continue"/>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1980" w:type="dxa"/>
            <w:vAlign w:val="bottom"/>
            <w:tcBorders>
              <w:left w:val="single" w:sz="8" w:color="auto"/>
            </w:tcBorders>
            <w:vMerge w:val="continue"/>
          </w:tcPr>
          <w:p>
            <w:pPr>
              <w:spacing w:after="0"/>
              <w:rPr>
                <w:sz w:val="6"/>
                <w:szCs w:val="6"/>
                <w:color w:val="auto"/>
              </w:rPr>
            </w:pPr>
          </w:p>
        </w:tc>
        <w:tc>
          <w:tcPr>
            <w:tcW w:w="1840" w:type="dxa"/>
            <w:vAlign w:val="bottom"/>
            <w:tcBorders>
              <w:right w:val="single" w:sz="8" w:color="auto"/>
            </w:tcBorders>
            <w:vMerge w:val="restart"/>
          </w:tcPr>
          <w:p>
            <w:pPr>
              <w:ind w:left="120"/>
              <w:spacing w:after="0" w:line="218" w:lineRule="exact"/>
              <w:rPr>
                <w:sz w:val="20"/>
                <w:szCs w:val="20"/>
                <w:color w:val="auto"/>
              </w:rPr>
            </w:pPr>
            <w:r>
              <w:rPr>
                <w:rFonts w:ascii="Calibri" w:cs="Calibri" w:eastAsia="Calibri" w:hAnsi="Calibri"/>
                <w:sz w:val="19"/>
                <w:szCs w:val="19"/>
                <w:color w:val="auto"/>
              </w:rPr>
              <w:t>Non-Hispanic, n (%)</w:t>
            </w:r>
          </w:p>
        </w:tc>
        <w:tc>
          <w:tcPr>
            <w:tcW w:w="1180" w:type="dxa"/>
            <w:vAlign w:val="bottom"/>
            <w:tcBorders>
              <w:right w:val="single" w:sz="8" w:color="auto"/>
            </w:tcBorders>
            <w:vMerge w:val="restart"/>
          </w:tcPr>
          <w:p>
            <w:pPr>
              <w:jc w:val="center"/>
              <w:spacing w:after="0" w:line="218" w:lineRule="exact"/>
              <w:rPr>
                <w:sz w:val="20"/>
                <w:szCs w:val="20"/>
                <w:color w:val="auto"/>
              </w:rPr>
            </w:pPr>
            <w:r>
              <w:rPr>
                <w:rFonts w:ascii="Calibri" w:cs="Calibri" w:eastAsia="Calibri" w:hAnsi="Calibri"/>
                <w:sz w:val="19"/>
                <w:szCs w:val="19"/>
                <w:color w:val="auto"/>
              </w:rPr>
              <w:t>10 (41.7%)</w:t>
            </w:r>
          </w:p>
        </w:tc>
        <w:tc>
          <w:tcPr>
            <w:tcW w:w="1200" w:type="dxa"/>
            <w:vAlign w:val="bottom"/>
            <w:tcBorders>
              <w:right w:val="single" w:sz="8" w:color="auto"/>
            </w:tcBorders>
            <w:vMerge w:val="restart"/>
          </w:tcPr>
          <w:p>
            <w:pPr>
              <w:jc w:val="center"/>
              <w:spacing w:after="0" w:line="218" w:lineRule="exact"/>
              <w:rPr>
                <w:sz w:val="20"/>
                <w:szCs w:val="20"/>
                <w:color w:val="auto"/>
              </w:rPr>
            </w:pPr>
            <w:r>
              <w:rPr>
                <w:rFonts w:ascii="Calibri" w:cs="Calibri" w:eastAsia="Calibri" w:hAnsi="Calibri"/>
                <w:sz w:val="19"/>
                <w:szCs w:val="19"/>
                <w:color w:val="auto"/>
              </w:rPr>
              <w:t>3 (13.0%)</w:t>
            </w:r>
          </w:p>
        </w:tc>
        <w:tc>
          <w:tcPr>
            <w:tcW w:w="1180" w:type="dxa"/>
            <w:vAlign w:val="bottom"/>
            <w:tcBorders>
              <w:right w:val="single" w:sz="8" w:color="auto"/>
            </w:tcBorders>
            <w:vMerge w:val="restart"/>
          </w:tcPr>
          <w:p>
            <w:pPr>
              <w:jc w:val="center"/>
              <w:spacing w:after="0" w:line="218" w:lineRule="exact"/>
              <w:rPr>
                <w:sz w:val="20"/>
                <w:szCs w:val="20"/>
                <w:color w:val="auto"/>
              </w:rPr>
            </w:pPr>
            <w:r>
              <w:rPr>
                <w:rFonts w:ascii="Calibri" w:cs="Calibri" w:eastAsia="Calibri" w:hAnsi="Calibri"/>
                <w:sz w:val="19"/>
                <w:szCs w:val="19"/>
                <w:color w:val="auto"/>
                <w:w w:val="98"/>
              </w:rPr>
              <w:t>4 (17.4%)</w:t>
            </w:r>
          </w:p>
        </w:tc>
        <w:tc>
          <w:tcPr>
            <w:tcW w:w="1200" w:type="dxa"/>
            <w:vAlign w:val="bottom"/>
            <w:tcBorders>
              <w:right w:val="single" w:sz="8" w:color="auto"/>
            </w:tcBorders>
            <w:vMerge w:val="restart"/>
          </w:tcPr>
          <w:p>
            <w:pPr>
              <w:jc w:val="center"/>
              <w:spacing w:after="0" w:line="218" w:lineRule="exact"/>
              <w:rPr>
                <w:sz w:val="20"/>
                <w:szCs w:val="20"/>
                <w:color w:val="auto"/>
              </w:rPr>
            </w:pPr>
            <w:r>
              <w:rPr>
                <w:rFonts w:ascii="Calibri" w:cs="Calibri" w:eastAsia="Calibri" w:hAnsi="Calibri"/>
                <w:sz w:val="19"/>
                <w:szCs w:val="19"/>
                <w:color w:val="auto"/>
              </w:rPr>
              <w:t>6 (25.0%)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980" w:type="dxa"/>
            <w:vAlign w:val="bottom"/>
            <w:tcBorders>
              <w:left w:val="single" w:sz="8" w:color="auto"/>
            </w:tcBorders>
          </w:tcPr>
          <w:p>
            <w:pPr>
              <w:spacing w:after="0"/>
              <w:rPr>
                <w:sz w:val="12"/>
                <w:szCs w:val="12"/>
                <w:color w:val="auto"/>
              </w:rPr>
            </w:pPr>
          </w:p>
        </w:tc>
        <w:tc>
          <w:tcPr>
            <w:tcW w:w="184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980" w:type="dxa"/>
            <w:vAlign w:val="bottom"/>
            <w:tcBorders>
              <w:left w:val="single" w:sz="8" w:color="auto"/>
              <w:bottom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980" w:type="dxa"/>
            <w:vAlign w:val="bottom"/>
            <w:tcBorders>
              <w:left w:val="single" w:sz="8" w:color="auto"/>
            </w:tcBorders>
          </w:tcPr>
          <w:p>
            <w:pPr>
              <w:ind w:left="240"/>
              <w:spacing w:after="0" w:line="218" w:lineRule="exact"/>
              <w:rPr>
                <w:sz w:val="20"/>
                <w:szCs w:val="20"/>
                <w:color w:val="auto"/>
              </w:rPr>
            </w:pPr>
            <w:r>
              <w:rPr>
                <w:rFonts w:ascii="Calibri" w:cs="Calibri" w:eastAsia="Calibri" w:hAnsi="Calibri"/>
                <w:sz w:val="19"/>
                <w:szCs w:val="19"/>
                <w:b w:val="1"/>
                <w:bCs w:val="1"/>
                <w:color w:val="auto"/>
              </w:rPr>
              <w:t xml:space="preserve">BMI, </w:t>
            </w:r>
            <w:r>
              <w:rPr>
                <w:rFonts w:ascii="Calibri" w:cs="Calibri" w:eastAsia="Calibri" w:hAnsi="Calibri"/>
                <w:sz w:val="19"/>
                <w:szCs w:val="19"/>
                <w:color w:val="auto"/>
              </w:rPr>
              <w:t>kg/m2</w:t>
            </w:r>
          </w:p>
        </w:tc>
        <w:tc>
          <w:tcPr>
            <w:tcW w:w="1840" w:type="dxa"/>
            <w:vAlign w:val="bottom"/>
            <w:tcBorders>
              <w:right w:val="single" w:sz="8" w:color="auto"/>
            </w:tcBorders>
          </w:tcPr>
          <w:p>
            <w:pPr>
              <w:ind w:left="120"/>
              <w:spacing w:after="0" w:line="218" w:lineRule="exact"/>
              <w:rPr>
                <w:sz w:val="20"/>
                <w:szCs w:val="20"/>
                <w:color w:val="auto"/>
              </w:rPr>
            </w:pPr>
            <w:r>
              <w:rPr>
                <w:rFonts w:ascii="Calibri" w:cs="Calibri" w:eastAsia="Calibri" w:hAnsi="Calibri"/>
                <w:sz w:val="19"/>
                <w:szCs w:val="19"/>
                <w:color w:val="auto"/>
              </w:rPr>
              <w:t>mean (SD)</w:t>
            </w:r>
          </w:p>
        </w:tc>
        <w:tc>
          <w:tcPr>
            <w:tcW w:w="11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36.9 (4.7)</w:t>
            </w:r>
          </w:p>
        </w:tc>
        <w:tc>
          <w:tcPr>
            <w:tcW w:w="120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36.3 (5.6)</w:t>
            </w:r>
          </w:p>
        </w:tc>
        <w:tc>
          <w:tcPr>
            <w:tcW w:w="11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35.4 (3.9)</w:t>
            </w:r>
          </w:p>
        </w:tc>
        <w:tc>
          <w:tcPr>
            <w:tcW w:w="120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35.3 (5.0)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980" w:type="dxa"/>
            <w:vAlign w:val="bottom"/>
            <w:tcBorders>
              <w:left w:val="single" w:sz="8" w:color="auto"/>
              <w:bottom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980" w:type="dxa"/>
            <w:vAlign w:val="bottom"/>
            <w:tcBorders>
              <w:left w:val="single" w:sz="8" w:color="auto"/>
            </w:tcBorders>
          </w:tcPr>
          <w:p>
            <w:pPr>
              <w:ind w:left="240"/>
              <w:spacing w:after="0" w:line="218" w:lineRule="exact"/>
              <w:rPr>
                <w:sz w:val="20"/>
                <w:szCs w:val="20"/>
                <w:color w:val="auto"/>
              </w:rPr>
            </w:pPr>
            <w:r>
              <w:rPr>
                <w:rFonts w:ascii="Calibri" w:cs="Calibri" w:eastAsia="Calibri" w:hAnsi="Calibri"/>
                <w:sz w:val="19"/>
                <w:szCs w:val="19"/>
                <w:b w:val="1"/>
                <w:bCs w:val="1"/>
                <w:color w:val="auto"/>
              </w:rPr>
              <w:t xml:space="preserve">Body weight, </w:t>
            </w:r>
            <w:r>
              <w:rPr>
                <w:rFonts w:ascii="Calibri" w:cs="Calibri" w:eastAsia="Calibri" w:hAnsi="Calibri"/>
                <w:sz w:val="19"/>
                <w:szCs w:val="19"/>
                <w:color w:val="auto"/>
              </w:rPr>
              <w:t>kg</w:t>
            </w:r>
          </w:p>
        </w:tc>
        <w:tc>
          <w:tcPr>
            <w:tcW w:w="1840" w:type="dxa"/>
            <w:vAlign w:val="bottom"/>
            <w:tcBorders>
              <w:right w:val="single" w:sz="8" w:color="auto"/>
            </w:tcBorders>
          </w:tcPr>
          <w:p>
            <w:pPr>
              <w:ind w:left="120"/>
              <w:spacing w:after="0" w:line="218" w:lineRule="exact"/>
              <w:rPr>
                <w:sz w:val="20"/>
                <w:szCs w:val="20"/>
                <w:color w:val="auto"/>
              </w:rPr>
            </w:pPr>
            <w:r>
              <w:rPr>
                <w:rFonts w:ascii="Calibri" w:cs="Calibri" w:eastAsia="Calibri" w:hAnsi="Calibri"/>
                <w:sz w:val="19"/>
                <w:szCs w:val="19"/>
                <w:color w:val="auto"/>
              </w:rPr>
              <w:t>mean (SD)</w:t>
            </w:r>
          </w:p>
        </w:tc>
        <w:tc>
          <w:tcPr>
            <w:tcW w:w="11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105.1 (20.8)</w:t>
            </w:r>
          </w:p>
        </w:tc>
        <w:tc>
          <w:tcPr>
            <w:tcW w:w="120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102.4 (14.6)</w:t>
            </w:r>
          </w:p>
        </w:tc>
        <w:tc>
          <w:tcPr>
            <w:tcW w:w="11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98.9 (19.7)</w:t>
            </w:r>
          </w:p>
        </w:tc>
        <w:tc>
          <w:tcPr>
            <w:tcW w:w="120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98.2 (18.9)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980" w:type="dxa"/>
            <w:vAlign w:val="bottom"/>
            <w:tcBorders>
              <w:left w:val="single" w:sz="8" w:color="auto"/>
              <w:bottom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980" w:type="dxa"/>
            <w:vAlign w:val="bottom"/>
            <w:tcBorders>
              <w:left w:val="single" w:sz="8" w:color="auto"/>
            </w:tcBorders>
          </w:tcPr>
          <w:p>
            <w:pPr>
              <w:ind w:left="240"/>
              <w:spacing w:after="0" w:line="218" w:lineRule="exact"/>
              <w:rPr>
                <w:sz w:val="20"/>
                <w:szCs w:val="20"/>
                <w:color w:val="auto"/>
              </w:rPr>
            </w:pPr>
            <w:r>
              <w:rPr>
                <w:rFonts w:ascii="Calibri" w:cs="Calibri" w:eastAsia="Calibri" w:hAnsi="Calibri"/>
                <w:sz w:val="19"/>
                <w:szCs w:val="19"/>
                <w:b w:val="1"/>
                <w:bCs w:val="1"/>
                <w:color w:val="auto"/>
              </w:rPr>
              <w:t>Diabetes status</w:t>
            </w:r>
          </w:p>
        </w:tc>
        <w:tc>
          <w:tcPr>
            <w:tcW w:w="1840" w:type="dxa"/>
            <w:vAlign w:val="bottom"/>
            <w:tcBorders>
              <w:right w:val="single" w:sz="8" w:color="auto"/>
            </w:tcBorders>
          </w:tcPr>
          <w:p>
            <w:pPr>
              <w:ind w:left="120"/>
              <w:spacing w:after="0" w:line="218" w:lineRule="exact"/>
              <w:rPr>
                <w:sz w:val="20"/>
                <w:szCs w:val="20"/>
                <w:color w:val="auto"/>
              </w:rPr>
            </w:pPr>
            <w:r>
              <w:rPr>
                <w:rFonts w:ascii="Calibri" w:cs="Calibri" w:eastAsia="Calibri" w:hAnsi="Calibri"/>
                <w:sz w:val="19"/>
                <w:szCs w:val="19"/>
                <w:color w:val="auto"/>
              </w:rPr>
              <w:t>T2D, n (%)</w:t>
            </w:r>
          </w:p>
        </w:tc>
        <w:tc>
          <w:tcPr>
            <w:tcW w:w="11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6 (25.0%)</w:t>
            </w:r>
          </w:p>
        </w:tc>
        <w:tc>
          <w:tcPr>
            <w:tcW w:w="120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7 (30.4%)</w:t>
            </w:r>
          </w:p>
        </w:tc>
        <w:tc>
          <w:tcPr>
            <w:tcW w:w="11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w w:val="98"/>
              </w:rPr>
              <w:t>7 (30.4%)</w:t>
            </w:r>
          </w:p>
        </w:tc>
        <w:tc>
          <w:tcPr>
            <w:tcW w:w="120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7 (33.3%)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980" w:type="dxa"/>
            <w:vAlign w:val="bottom"/>
            <w:tcBorders>
              <w:left w:val="single" w:sz="8" w:color="auto"/>
              <w:bottom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980" w:type="dxa"/>
            <w:vAlign w:val="bottom"/>
            <w:tcBorders>
              <w:left w:val="single" w:sz="8" w:color="auto"/>
            </w:tcBorders>
          </w:tcPr>
          <w:p>
            <w:pPr>
              <w:ind w:left="240"/>
              <w:spacing w:after="0" w:line="218" w:lineRule="exact"/>
              <w:rPr>
                <w:sz w:val="20"/>
                <w:szCs w:val="20"/>
                <w:color w:val="auto"/>
              </w:rPr>
            </w:pPr>
            <w:r>
              <w:rPr>
                <w:rFonts w:ascii="Calibri" w:cs="Calibri" w:eastAsia="Calibri" w:hAnsi="Calibri"/>
                <w:sz w:val="19"/>
                <w:szCs w:val="19"/>
                <w:b w:val="1"/>
                <w:bCs w:val="1"/>
                <w:color w:val="auto"/>
              </w:rPr>
              <w:t xml:space="preserve">LFC, </w:t>
            </w:r>
            <w:r>
              <w:rPr>
                <w:rFonts w:ascii="Calibri" w:cs="Calibri" w:eastAsia="Calibri" w:hAnsi="Calibri"/>
                <w:sz w:val="19"/>
                <w:szCs w:val="19"/>
                <w:color w:val="auto"/>
              </w:rPr>
              <w:t>%</w:t>
            </w:r>
          </w:p>
        </w:tc>
        <w:tc>
          <w:tcPr>
            <w:tcW w:w="1840" w:type="dxa"/>
            <w:vAlign w:val="bottom"/>
            <w:tcBorders>
              <w:right w:val="single" w:sz="8" w:color="auto"/>
            </w:tcBorders>
          </w:tcPr>
          <w:p>
            <w:pPr>
              <w:ind w:left="120"/>
              <w:spacing w:after="0" w:line="218" w:lineRule="exact"/>
              <w:rPr>
                <w:sz w:val="20"/>
                <w:szCs w:val="20"/>
                <w:color w:val="auto"/>
              </w:rPr>
            </w:pPr>
            <w:r>
              <w:rPr>
                <w:rFonts w:ascii="Calibri" w:cs="Calibri" w:eastAsia="Calibri" w:hAnsi="Calibri"/>
                <w:sz w:val="19"/>
                <w:szCs w:val="19"/>
                <w:color w:val="auto"/>
              </w:rPr>
              <w:t>mean (SD)</w:t>
            </w:r>
          </w:p>
        </w:tc>
        <w:tc>
          <w:tcPr>
            <w:tcW w:w="11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23.8 (9.2)</w:t>
            </w:r>
          </w:p>
        </w:tc>
        <w:tc>
          <w:tcPr>
            <w:tcW w:w="120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21.6 (7.3)</w:t>
            </w:r>
          </w:p>
        </w:tc>
        <w:tc>
          <w:tcPr>
            <w:tcW w:w="11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21.8 (8.0)</w:t>
            </w:r>
          </w:p>
        </w:tc>
        <w:tc>
          <w:tcPr>
            <w:tcW w:w="120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19"/>
                <w:szCs w:val="19"/>
                <w:color w:val="auto"/>
              </w:rPr>
              <w:t>20.2 (7.0)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980" w:type="dxa"/>
            <w:vAlign w:val="bottom"/>
            <w:tcBorders>
              <w:left w:val="single" w:sz="8" w:color="auto"/>
              <w:bottom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1"/>
        </w:trPr>
        <w:tc>
          <w:tcPr>
            <w:tcW w:w="19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1388110</wp:posOffset>
            </wp:positionH>
            <wp:positionV relativeFrom="paragraph">
              <wp:posOffset>-2219325</wp:posOffset>
            </wp:positionV>
            <wp:extent cx="8255" cy="1878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18783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1042035</wp:posOffset>
            </wp:positionH>
            <wp:positionV relativeFrom="page">
              <wp:posOffset>414020</wp:posOffset>
            </wp:positionV>
            <wp:extent cx="1203325" cy="8616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03325" cy="86169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200"/>
        <w:spacing w:after="0"/>
        <w:rPr>
          <w:sz w:val="20"/>
          <w:szCs w:val="20"/>
          <w:color w:val="auto"/>
        </w:rPr>
      </w:pPr>
      <w:r>
        <w:rPr>
          <w:rFonts w:ascii="Calibri" w:cs="Calibri" w:eastAsia="Calibri" w:hAnsi="Calibri"/>
          <w:sz w:val="19"/>
          <w:szCs w:val="19"/>
          <w:b w:val="1"/>
          <w:bCs w:val="1"/>
          <w:color w:val="auto"/>
        </w:rPr>
        <w:t>Reducton of Liver Fat Content (MRI-PDFF)—All Subjects</w:t>
      </w:r>
    </w:p>
    <w:p>
      <w:pPr>
        <w:spacing w:after="0" w:line="152" w:lineRule="exact"/>
        <w:rPr>
          <w:sz w:val="20"/>
          <w:szCs w:val="20"/>
          <w:color w:val="auto"/>
        </w:rPr>
      </w:pPr>
    </w:p>
    <w:tbl>
      <w:tblPr>
        <w:tblLayout w:type="fixed"/>
        <w:tblInd w:w="210" w:type="dxa"/>
        <w:tblCellMar>
          <w:top w:w="0" w:type="dxa"/>
          <w:left w:w="0" w:type="dxa"/>
          <w:bottom w:w="0" w:type="dxa"/>
          <w:right w:w="0" w:type="dxa"/>
        </w:tblCellMar>
      </w:tblPr>
      <w:tr>
        <w:trPr>
          <w:trHeight w:val="220"/>
        </w:trPr>
        <w:tc>
          <w:tcPr>
            <w:tcW w:w="2480" w:type="dxa"/>
            <w:vAlign w:val="bottom"/>
            <w:tcBorders>
              <w:top w:val="single" w:sz="8" w:color="auto"/>
              <w:lef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gridSpan w:val="2"/>
          </w:tcPr>
          <w:p>
            <w:pPr>
              <w:ind w:left="480"/>
              <w:spacing w:after="0" w:line="220" w:lineRule="exact"/>
              <w:rPr>
                <w:sz w:val="20"/>
                <w:szCs w:val="20"/>
                <w:color w:val="auto"/>
              </w:rPr>
            </w:pPr>
            <w:r>
              <w:rPr>
                <w:rFonts w:ascii="Calibri" w:cs="Calibri" w:eastAsia="Calibri" w:hAnsi="Calibri"/>
                <w:sz w:val="19"/>
                <w:szCs w:val="19"/>
                <w:b w:val="1"/>
                <w:bCs w:val="1"/>
                <w:color w:val="auto"/>
              </w:rPr>
              <w:t>Treatment</w:t>
            </w:r>
          </w:p>
        </w:tc>
        <w:tc>
          <w:tcPr>
            <w:tcW w:w="1200" w:type="dxa"/>
            <w:vAlign w:val="bottom"/>
            <w:tcBorders>
              <w:top w:val="single" w:sz="8" w:color="auto"/>
              <w:right w:val="single" w:sz="8" w:color="auto"/>
            </w:tcBorders>
          </w:tcPr>
          <w:p>
            <w:pPr>
              <w:spacing w:after="0"/>
              <w:rPr>
                <w:sz w:val="19"/>
                <w:szCs w:val="19"/>
                <w:color w:val="auto"/>
              </w:rPr>
            </w:pPr>
          </w:p>
        </w:tc>
      </w:tr>
      <w:tr>
        <w:trPr>
          <w:trHeight w:val="203"/>
        </w:trPr>
        <w:tc>
          <w:tcPr>
            <w:tcW w:w="2480" w:type="dxa"/>
            <w:vAlign w:val="bottom"/>
            <w:tcBorders>
              <w:left w:val="single" w:sz="8" w:color="auto"/>
            </w:tcBorders>
          </w:tcPr>
          <w:p>
            <w:pPr>
              <w:ind w:left="1500"/>
              <w:spacing w:after="0" w:line="202" w:lineRule="exact"/>
              <w:rPr>
                <w:sz w:val="20"/>
                <w:szCs w:val="20"/>
                <w:color w:val="auto"/>
              </w:rPr>
            </w:pPr>
            <w:r>
              <w:rPr>
                <w:rFonts w:ascii="Calibri" w:cs="Calibri" w:eastAsia="Calibri" w:hAnsi="Calibri"/>
                <w:sz w:val="19"/>
                <w:szCs w:val="19"/>
                <w:b w:val="1"/>
                <w:bCs w:val="1"/>
                <w:color w:val="auto"/>
              </w:rPr>
              <w:t>Endpoint</w:t>
            </w:r>
          </w:p>
        </w:tc>
        <w:tc>
          <w:tcPr>
            <w:tcW w:w="126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r>
      <w:tr>
        <w:trPr>
          <w:trHeight w:val="136"/>
        </w:trPr>
        <w:tc>
          <w:tcPr>
            <w:tcW w:w="2480" w:type="dxa"/>
            <w:vAlign w:val="bottom"/>
            <w:tcBorders>
              <w:lef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jc w:val="center"/>
              <w:spacing w:after="0" w:line="136" w:lineRule="exact"/>
              <w:rPr>
                <w:sz w:val="20"/>
                <w:szCs w:val="20"/>
                <w:color w:val="auto"/>
              </w:rPr>
            </w:pPr>
            <w:r>
              <w:rPr>
                <w:rFonts w:ascii="Calibri" w:cs="Calibri" w:eastAsia="Calibri" w:hAnsi="Calibri"/>
                <w:sz w:val="14"/>
                <w:szCs w:val="14"/>
                <w:b w:val="1"/>
                <w:bCs w:val="1"/>
                <w:color w:val="auto"/>
              </w:rPr>
              <w:t>Placebo</w:t>
            </w:r>
          </w:p>
        </w:tc>
        <w:tc>
          <w:tcPr>
            <w:tcW w:w="320" w:type="dxa"/>
            <w:vAlign w:val="bottom"/>
          </w:tcPr>
          <w:p>
            <w:pPr>
              <w:spacing w:after="0"/>
              <w:rPr>
                <w:sz w:val="11"/>
                <w:szCs w:val="11"/>
                <w:color w:val="auto"/>
              </w:rPr>
            </w:pPr>
          </w:p>
        </w:tc>
        <w:tc>
          <w:tcPr>
            <w:tcW w:w="900" w:type="dxa"/>
            <w:vAlign w:val="bottom"/>
            <w:tcBorders>
              <w:right w:val="single" w:sz="8" w:color="auto"/>
            </w:tcBorders>
          </w:tcPr>
          <w:p>
            <w:pPr>
              <w:spacing w:after="0" w:line="136" w:lineRule="exact"/>
              <w:rPr>
                <w:sz w:val="20"/>
                <w:szCs w:val="20"/>
                <w:color w:val="auto"/>
              </w:rPr>
            </w:pPr>
            <w:r>
              <w:rPr>
                <w:rFonts w:ascii="Calibri" w:cs="Calibri" w:eastAsia="Calibri" w:hAnsi="Calibri"/>
                <w:sz w:val="14"/>
                <w:szCs w:val="14"/>
                <w:b w:val="1"/>
                <w:bCs w:val="1"/>
                <w:color w:val="auto"/>
              </w:rPr>
              <w:t>1.2 mg</w:t>
            </w:r>
          </w:p>
        </w:tc>
        <w:tc>
          <w:tcPr>
            <w:tcW w:w="1220" w:type="dxa"/>
            <w:vAlign w:val="bottom"/>
            <w:tcBorders>
              <w:right w:val="single" w:sz="8" w:color="auto"/>
            </w:tcBorders>
          </w:tcPr>
          <w:p>
            <w:pPr>
              <w:ind w:left="320"/>
              <w:spacing w:after="0" w:line="136" w:lineRule="exact"/>
              <w:rPr>
                <w:sz w:val="20"/>
                <w:szCs w:val="20"/>
                <w:color w:val="auto"/>
              </w:rPr>
            </w:pPr>
            <w:r>
              <w:rPr>
                <w:rFonts w:ascii="Calibri" w:cs="Calibri" w:eastAsia="Calibri" w:hAnsi="Calibri"/>
                <w:sz w:val="14"/>
                <w:szCs w:val="14"/>
                <w:b w:val="1"/>
                <w:bCs w:val="1"/>
                <w:color w:val="auto"/>
              </w:rPr>
              <w:t>1.8 mg</w:t>
            </w:r>
          </w:p>
        </w:tc>
        <w:tc>
          <w:tcPr>
            <w:tcW w:w="1200" w:type="dxa"/>
            <w:vAlign w:val="bottom"/>
            <w:tcBorders>
              <w:right w:val="single" w:sz="8" w:color="auto"/>
            </w:tcBorders>
          </w:tcPr>
          <w:p>
            <w:pPr>
              <w:ind w:left="320"/>
              <w:spacing w:after="0" w:line="136" w:lineRule="exact"/>
              <w:rPr>
                <w:sz w:val="20"/>
                <w:szCs w:val="20"/>
                <w:color w:val="auto"/>
              </w:rPr>
            </w:pPr>
            <w:r>
              <w:rPr>
                <w:rFonts w:ascii="Calibri" w:cs="Calibri" w:eastAsia="Calibri" w:hAnsi="Calibri"/>
                <w:sz w:val="14"/>
                <w:szCs w:val="14"/>
                <w:b w:val="1"/>
                <w:bCs w:val="1"/>
                <w:color w:val="auto"/>
              </w:rPr>
              <w:t>2.4 mg</w:t>
            </w:r>
          </w:p>
        </w:tc>
      </w:tr>
      <w:tr>
        <w:trPr>
          <w:trHeight w:val="223"/>
        </w:trPr>
        <w:tc>
          <w:tcPr>
            <w:tcW w:w="2480" w:type="dxa"/>
            <w:vAlign w:val="bottom"/>
            <w:tcBorders>
              <w:lef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jc w:val="center"/>
              <w:spacing w:after="0" w:line="223" w:lineRule="exact"/>
              <w:rPr>
                <w:sz w:val="20"/>
                <w:szCs w:val="20"/>
                <w:color w:val="auto"/>
              </w:rPr>
            </w:pPr>
            <w:r>
              <w:rPr>
                <w:rFonts w:ascii="Calibri" w:cs="Calibri" w:eastAsia="Calibri" w:hAnsi="Calibri"/>
                <w:sz w:val="19"/>
                <w:szCs w:val="19"/>
                <w:b w:val="1"/>
                <w:bCs w:val="1"/>
                <w:color w:val="auto"/>
              </w:rPr>
              <w:t>(n = 24)</w:t>
            </w:r>
          </w:p>
        </w:tc>
        <w:tc>
          <w:tcPr>
            <w:tcW w:w="320" w:type="dxa"/>
            <w:vAlign w:val="bottom"/>
          </w:tcPr>
          <w:p>
            <w:pPr>
              <w:spacing w:after="0"/>
              <w:rPr>
                <w:sz w:val="19"/>
                <w:szCs w:val="19"/>
                <w:color w:val="auto"/>
              </w:rPr>
            </w:pPr>
          </w:p>
        </w:tc>
        <w:tc>
          <w:tcPr>
            <w:tcW w:w="900" w:type="dxa"/>
            <w:vAlign w:val="bottom"/>
            <w:tcBorders>
              <w:right w:val="single" w:sz="8" w:color="auto"/>
            </w:tcBorders>
          </w:tcPr>
          <w:p>
            <w:pPr>
              <w:jc w:val="center"/>
              <w:ind w:right="255"/>
              <w:spacing w:after="0" w:line="223" w:lineRule="exact"/>
              <w:rPr>
                <w:sz w:val="20"/>
                <w:szCs w:val="20"/>
                <w:color w:val="auto"/>
              </w:rPr>
            </w:pPr>
            <w:r>
              <w:rPr>
                <w:rFonts w:ascii="Calibri" w:cs="Calibri" w:eastAsia="Calibri" w:hAnsi="Calibri"/>
                <w:sz w:val="19"/>
                <w:szCs w:val="19"/>
                <w:b w:val="1"/>
                <w:bCs w:val="1"/>
                <w:color w:val="auto"/>
              </w:rPr>
              <w:t>(n=20)</w:t>
            </w:r>
          </w:p>
        </w:tc>
        <w:tc>
          <w:tcPr>
            <w:tcW w:w="1220" w:type="dxa"/>
            <w:vAlign w:val="bottom"/>
            <w:tcBorders>
              <w:right w:val="single" w:sz="8" w:color="auto"/>
            </w:tcBorders>
          </w:tcPr>
          <w:p>
            <w:pPr>
              <w:jc w:val="center"/>
              <w:spacing w:after="0" w:line="223" w:lineRule="exact"/>
              <w:rPr>
                <w:sz w:val="20"/>
                <w:szCs w:val="20"/>
                <w:color w:val="auto"/>
              </w:rPr>
            </w:pPr>
            <w:r>
              <w:rPr>
                <w:rFonts w:ascii="Calibri" w:cs="Calibri" w:eastAsia="Calibri" w:hAnsi="Calibri"/>
                <w:sz w:val="19"/>
                <w:szCs w:val="19"/>
                <w:b w:val="1"/>
                <w:bCs w:val="1"/>
                <w:color w:val="auto"/>
                <w:w w:val="98"/>
              </w:rPr>
              <w:t>(n=18)</w:t>
            </w:r>
          </w:p>
        </w:tc>
        <w:tc>
          <w:tcPr>
            <w:tcW w:w="1200" w:type="dxa"/>
            <w:vAlign w:val="bottom"/>
            <w:tcBorders>
              <w:right w:val="single" w:sz="8" w:color="auto"/>
            </w:tcBorders>
          </w:tcPr>
          <w:p>
            <w:pPr>
              <w:jc w:val="center"/>
              <w:spacing w:after="0" w:line="223" w:lineRule="exact"/>
              <w:rPr>
                <w:sz w:val="20"/>
                <w:szCs w:val="20"/>
                <w:color w:val="auto"/>
              </w:rPr>
            </w:pPr>
            <w:r>
              <w:rPr>
                <w:rFonts w:ascii="Calibri" w:cs="Calibri" w:eastAsia="Calibri" w:hAnsi="Calibri"/>
                <w:sz w:val="19"/>
                <w:szCs w:val="19"/>
                <w:b w:val="1"/>
                <w:bCs w:val="1"/>
                <w:color w:val="auto"/>
                <w:w w:val="98"/>
              </w:rPr>
              <w:t>(n=20)</w:t>
            </w:r>
          </w:p>
        </w:tc>
      </w:tr>
      <w:tr>
        <w:trPr>
          <w:trHeight w:val="31"/>
        </w:trPr>
        <w:tc>
          <w:tcPr>
            <w:tcW w:w="2480" w:type="dxa"/>
            <w:vAlign w:val="bottom"/>
            <w:tcBorders>
              <w:left w:val="single" w:sz="8" w:color="auto"/>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r>
      <w:tr>
        <w:trPr>
          <w:trHeight w:val="218"/>
        </w:trPr>
        <w:tc>
          <w:tcPr>
            <w:tcW w:w="2480" w:type="dxa"/>
            <w:vAlign w:val="bottom"/>
            <w:tcBorders>
              <w:left w:val="single" w:sz="8" w:color="auto"/>
            </w:tcBorders>
          </w:tcPr>
          <w:p>
            <w:pPr>
              <w:ind w:left="260"/>
              <w:spacing w:after="0" w:line="218" w:lineRule="exact"/>
              <w:rPr>
                <w:sz w:val="20"/>
                <w:szCs w:val="20"/>
                <w:color w:val="auto"/>
              </w:rPr>
            </w:pPr>
            <w:r>
              <w:rPr>
                <w:rFonts w:ascii="Calibri" w:cs="Calibri" w:eastAsia="Calibri" w:hAnsi="Calibri"/>
                <w:sz w:val="19"/>
                <w:szCs w:val="19"/>
                <w:b w:val="1"/>
                <w:bCs w:val="1"/>
                <w:color w:val="auto"/>
              </w:rPr>
              <w:t xml:space="preserve">Absolute reducton, </w:t>
            </w:r>
            <w:r>
              <w:rPr>
                <w:rFonts w:ascii="Calibri" w:cs="Calibri" w:eastAsia="Calibri" w:hAnsi="Calibri"/>
                <w:sz w:val="19"/>
                <w:szCs w:val="19"/>
                <w:color w:val="auto"/>
              </w:rPr>
              <w:t>%</w:t>
            </w:r>
          </w:p>
        </w:tc>
        <w:tc>
          <w:tcPr>
            <w:tcW w:w="1260" w:type="dxa"/>
            <w:vAlign w:val="bottom"/>
            <w:tcBorders>
              <w:right w:val="single" w:sz="8" w:color="auto"/>
            </w:tcBorders>
          </w:tcPr>
          <w:p>
            <w:pPr>
              <w:ind w:left="240"/>
              <w:spacing w:after="0" w:line="218" w:lineRule="exact"/>
              <w:rPr>
                <w:sz w:val="20"/>
                <w:szCs w:val="20"/>
                <w:color w:val="auto"/>
              </w:rPr>
            </w:pPr>
            <w:r>
              <w:rPr>
                <w:rFonts w:ascii="Calibri" w:cs="Calibri" w:eastAsia="Calibri" w:hAnsi="Calibri"/>
                <w:sz w:val="19"/>
                <w:szCs w:val="19"/>
                <w:color w:val="auto"/>
              </w:rPr>
              <w:t>mean (SE)</w:t>
            </w:r>
          </w:p>
        </w:tc>
        <w:tc>
          <w:tcPr>
            <w:tcW w:w="1200" w:type="dxa"/>
            <w:vAlign w:val="bottom"/>
            <w:tcBorders>
              <w:right w:val="single" w:sz="8" w:color="auto"/>
            </w:tcBorders>
          </w:tcPr>
          <w:p>
            <w:pPr>
              <w:jc w:val="center"/>
              <w:spacing w:after="0" w:line="204" w:lineRule="exact"/>
              <w:rPr>
                <w:sz w:val="20"/>
                <w:szCs w:val="20"/>
                <w:color w:val="auto"/>
              </w:rPr>
            </w:pPr>
            <w:r>
              <w:rPr>
                <w:rFonts w:ascii="Calibri" w:cs="Calibri" w:eastAsia="Calibri" w:hAnsi="Calibri"/>
                <w:sz w:val="17"/>
                <w:szCs w:val="17"/>
                <w:color w:val="auto"/>
                <w:w w:val="97"/>
              </w:rPr>
              <w:t>0.2 (1.7)</w:t>
            </w:r>
          </w:p>
        </w:tc>
        <w:tc>
          <w:tcPr>
            <w:tcW w:w="1220" w:type="dxa"/>
            <w:vAlign w:val="bottom"/>
            <w:tcBorders>
              <w:right w:val="single" w:sz="8" w:color="auto"/>
            </w:tcBorders>
            <w:gridSpan w:val="2"/>
          </w:tcPr>
          <w:p>
            <w:pPr>
              <w:jc w:val="center"/>
              <w:spacing w:after="0" w:line="204" w:lineRule="exact"/>
              <w:rPr>
                <w:sz w:val="20"/>
                <w:szCs w:val="20"/>
                <w:color w:val="auto"/>
              </w:rPr>
            </w:pPr>
            <w:r>
              <w:rPr>
                <w:rFonts w:ascii="Calibri" w:cs="Calibri" w:eastAsia="Calibri" w:hAnsi="Calibri"/>
                <w:sz w:val="17"/>
                <w:szCs w:val="17"/>
                <w:color w:val="auto"/>
                <w:w w:val="97"/>
              </w:rPr>
              <w:t>8.9 (1.8)**</w:t>
            </w:r>
          </w:p>
        </w:tc>
        <w:tc>
          <w:tcPr>
            <w:tcW w:w="1220" w:type="dxa"/>
            <w:vAlign w:val="bottom"/>
            <w:tcBorders>
              <w:right w:val="single" w:sz="8" w:color="auto"/>
            </w:tcBorders>
          </w:tcPr>
          <w:p>
            <w:pPr>
              <w:jc w:val="center"/>
              <w:spacing w:after="0" w:line="204" w:lineRule="exact"/>
              <w:rPr>
                <w:sz w:val="20"/>
                <w:szCs w:val="20"/>
                <w:color w:val="auto"/>
              </w:rPr>
            </w:pPr>
            <w:r>
              <w:rPr>
                <w:rFonts w:ascii="Calibri" w:cs="Calibri" w:eastAsia="Calibri" w:hAnsi="Calibri"/>
                <w:sz w:val="17"/>
                <w:szCs w:val="17"/>
                <w:color w:val="auto"/>
                <w:w w:val="99"/>
              </w:rPr>
              <w:t>14.7 (1.7)**</w:t>
            </w:r>
          </w:p>
        </w:tc>
        <w:tc>
          <w:tcPr>
            <w:tcW w:w="1200" w:type="dxa"/>
            <w:vAlign w:val="bottom"/>
            <w:tcBorders>
              <w:right w:val="single" w:sz="8" w:color="auto"/>
            </w:tcBorders>
          </w:tcPr>
          <w:p>
            <w:pPr>
              <w:jc w:val="center"/>
              <w:spacing w:after="0" w:line="204" w:lineRule="exact"/>
              <w:rPr>
                <w:sz w:val="20"/>
                <w:szCs w:val="20"/>
                <w:color w:val="auto"/>
              </w:rPr>
            </w:pPr>
            <w:r>
              <w:rPr>
                <w:rFonts w:ascii="Calibri" w:cs="Calibri" w:eastAsia="Calibri" w:hAnsi="Calibri"/>
                <w:sz w:val="17"/>
                <w:szCs w:val="17"/>
                <w:color w:val="auto"/>
                <w:w w:val="99"/>
              </w:rPr>
              <w:t>11.3 (2.0)**</w:t>
            </w:r>
          </w:p>
        </w:tc>
      </w:tr>
      <w:tr>
        <w:trPr>
          <w:trHeight w:val="44"/>
        </w:trPr>
        <w:tc>
          <w:tcPr>
            <w:tcW w:w="2480" w:type="dxa"/>
            <w:vAlign w:val="bottom"/>
            <w:tcBorders>
              <w:left w:val="single" w:sz="8" w:color="auto"/>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gridSpan w:val="2"/>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218"/>
        </w:trPr>
        <w:tc>
          <w:tcPr>
            <w:tcW w:w="2480" w:type="dxa"/>
            <w:vAlign w:val="bottom"/>
            <w:tcBorders>
              <w:left w:val="single" w:sz="8" w:color="auto"/>
            </w:tcBorders>
          </w:tcPr>
          <w:p>
            <w:pPr>
              <w:ind w:left="260"/>
              <w:spacing w:after="0" w:line="218" w:lineRule="exact"/>
              <w:rPr>
                <w:sz w:val="20"/>
                <w:szCs w:val="20"/>
                <w:color w:val="auto"/>
              </w:rPr>
            </w:pPr>
            <w:r>
              <w:rPr>
                <w:rFonts w:ascii="Calibri" w:cs="Calibri" w:eastAsia="Calibri" w:hAnsi="Calibri"/>
                <w:sz w:val="19"/>
                <w:szCs w:val="19"/>
                <w:b w:val="1"/>
                <w:bCs w:val="1"/>
                <w:color w:val="auto"/>
              </w:rPr>
              <w:t xml:space="preserve">Relatve reducton, </w:t>
            </w:r>
            <w:r>
              <w:rPr>
                <w:rFonts w:ascii="Calibri" w:cs="Calibri" w:eastAsia="Calibri" w:hAnsi="Calibri"/>
                <w:sz w:val="19"/>
                <w:szCs w:val="19"/>
                <w:color w:val="auto"/>
              </w:rPr>
              <w:t>%</w:t>
            </w:r>
          </w:p>
        </w:tc>
        <w:tc>
          <w:tcPr>
            <w:tcW w:w="1260" w:type="dxa"/>
            <w:vAlign w:val="bottom"/>
            <w:tcBorders>
              <w:right w:val="single" w:sz="8" w:color="auto"/>
            </w:tcBorders>
          </w:tcPr>
          <w:p>
            <w:pPr>
              <w:ind w:left="240"/>
              <w:spacing w:after="0" w:line="218" w:lineRule="exact"/>
              <w:rPr>
                <w:sz w:val="20"/>
                <w:szCs w:val="20"/>
                <w:color w:val="auto"/>
              </w:rPr>
            </w:pPr>
            <w:r>
              <w:rPr>
                <w:rFonts w:ascii="Calibri" w:cs="Calibri" w:eastAsia="Calibri" w:hAnsi="Calibri"/>
                <w:sz w:val="19"/>
                <w:szCs w:val="19"/>
                <w:color w:val="auto"/>
              </w:rPr>
              <w:t>mean (SE)</w:t>
            </w:r>
          </w:p>
        </w:tc>
        <w:tc>
          <w:tcPr>
            <w:tcW w:w="1200" w:type="dxa"/>
            <w:vAlign w:val="bottom"/>
            <w:tcBorders>
              <w:right w:val="single" w:sz="8" w:color="auto"/>
            </w:tcBorders>
          </w:tcPr>
          <w:p>
            <w:pPr>
              <w:jc w:val="center"/>
              <w:spacing w:after="0" w:line="204" w:lineRule="exact"/>
              <w:rPr>
                <w:sz w:val="20"/>
                <w:szCs w:val="20"/>
                <w:color w:val="auto"/>
              </w:rPr>
            </w:pPr>
            <w:r>
              <w:rPr>
                <w:rFonts w:ascii="Calibri" w:cs="Calibri" w:eastAsia="Calibri" w:hAnsi="Calibri"/>
                <w:sz w:val="17"/>
                <w:szCs w:val="17"/>
                <w:color w:val="auto"/>
                <w:w w:val="97"/>
              </w:rPr>
              <w:t>4.4 (8.7)</w:t>
            </w:r>
          </w:p>
        </w:tc>
        <w:tc>
          <w:tcPr>
            <w:tcW w:w="1220" w:type="dxa"/>
            <w:vAlign w:val="bottom"/>
            <w:tcBorders>
              <w:right w:val="single" w:sz="8" w:color="auto"/>
            </w:tcBorders>
            <w:gridSpan w:val="2"/>
          </w:tcPr>
          <w:p>
            <w:pPr>
              <w:jc w:val="center"/>
              <w:spacing w:after="0" w:line="204" w:lineRule="exact"/>
              <w:rPr>
                <w:sz w:val="20"/>
                <w:szCs w:val="20"/>
                <w:color w:val="auto"/>
              </w:rPr>
            </w:pPr>
            <w:r>
              <w:rPr>
                <w:rFonts w:ascii="Calibri" w:cs="Calibri" w:eastAsia="Calibri" w:hAnsi="Calibri"/>
                <w:sz w:val="17"/>
                <w:szCs w:val="17"/>
                <w:color w:val="auto"/>
                <w:w w:val="96"/>
              </w:rPr>
              <w:t>46.6 (8.1)**</w:t>
            </w:r>
          </w:p>
        </w:tc>
        <w:tc>
          <w:tcPr>
            <w:tcW w:w="1220" w:type="dxa"/>
            <w:vAlign w:val="bottom"/>
            <w:tcBorders>
              <w:right w:val="single" w:sz="8" w:color="auto"/>
            </w:tcBorders>
          </w:tcPr>
          <w:p>
            <w:pPr>
              <w:jc w:val="center"/>
              <w:spacing w:after="0" w:line="204" w:lineRule="exact"/>
              <w:rPr>
                <w:sz w:val="20"/>
                <w:szCs w:val="20"/>
                <w:color w:val="auto"/>
              </w:rPr>
            </w:pPr>
            <w:r>
              <w:rPr>
                <w:rFonts w:ascii="Calibri" w:cs="Calibri" w:eastAsia="Calibri" w:hAnsi="Calibri"/>
                <w:sz w:val="17"/>
                <w:szCs w:val="17"/>
                <w:color w:val="auto"/>
                <w:w w:val="99"/>
              </w:rPr>
              <w:t>68.5 (9.7)**</w:t>
            </w:r>
          </w:p>
        </w:tc>
        <w:tc>
          <w:tcPr>
            <w:tcW w:w="1200" w:type="dxa"/>
            <w:vAlign w:val="bottom"/>
            <w:tcBorders>
              <w:right w:val="single" w:sz="8" w:color="auto"/>
            </w:tcBorders>
          </w:tcPr>
          <w:p>
            <w:pPr>
              <w:jc w:val="center"/>
              <w:spacing w:after="0" w:line="204" w:lineRule="exact"/>
              <w:rPr>
                <w:sz w:val="20"/>
                <w:szCs w:val="20"/>
                <w:color w:val="auto"/>
              </w:rPr>
            </w:pPr>
            <w:r>
              <w:rPr>
                <w:rFonts w:ascii="Calibri" w:cs="Calibri" w:eastAsia="Calibri" w:hAnsi="Calibri"/>
                <w:sz w:val="17"/>
                <w:szCs w:val="17"/>
                <w:color w:val="auto"/>
                <w:w w:val="99"/>
              </w:rPr>
              <w:t>57.1 (8.0)**</w:t>
            </w:r>
          </w:p>
        </w:tc>
      </w:tr>
      <w:tr>
        <w:trPr>
          <w:trHeight w:val="44"/>
        </w:trPr>
        <w:tc>
          <w:tcPr>
            <w:tcW w:w="2480" w:type="dxa"/>
            <w:vAlign w:val="bottom"/>
            <w:tcBorders>
              <w:left w:val="single" w:sz="8" w:color="auto"/>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218"/>
        </w:trPr>
        <w:tc>
          <w:tcPr>
            <w:tcW w:w="2480" w:type="dxa"/>
            <w:vAlign w:val="bottom"/>
            <w:tcBorders>
              <w:left w:val="single" w:sz="8" w:color="auto"/>
            </w:tcBorders>
          </w:tcPr>
          <w:p>
            <w:pPr>
              <w:ind w:left="260"/>
              <w:spacing w:after="0" w:line="218" w:lineRule="exact"/>
              <w:rPr>
                <w:sz w:val="20"/>
                <w:szCs w:val="20"/>
                <w:color w:val="auto"/>
              </w:rPr>
            </w:pPr>
            <w:r>
              <w:rPr>
                <w:rFonts w:ascii="Calibri" w:cs="Calibri" w:eastAsia="Calibri" w:hAnsi="Calibri"/>
                <w:sz w:val="19"/>
                <w:szCs w:val="19"/>
                <w:b w:val="1"/>
                <w:bCs w:val="1"/>
                <w:color w:val="auto"/>
              </w:rPr>
              <w:t>30% reducton</w:t>
            </w:r>
          </w:p>
        </w:tc>
        <w:tc>
          <w:tcPr>
            <w:tcW w:w="1260" w:type="dxa"/>
            <w:vAlign w:val="bottom"/>
            <w:tcBorders>
              <w:right w:val="single" w:sz="8" w:color="auto"/>
            </w:tcBorders>
          </w:tcPr>
          <w:p>
            <w:pPr>
              <w:ind w:left="240"/>
              <w:spacing w:after="0" w:line="218" w:lineRule="exact"/>
              <w:rPr>
                <w:sz w:val="20"/>
                <w:szCs w:val="20"/>
                <w:color w:val="auto"/>
              </w:rPr>
            </w:pPr>
            <w:r>
              <w:rPr>
                <w:rFonts w:ascii="Calibri" w:cs="Calibri" w:eastAsia="Calibri" w:hAnsi="Calibri"/>
                <w:sz w:val="19"/>
                <w:szCs w:val="19"/>
                <w:color w:val="auto"/>
              </w:rPr>
              <w:t>n (%)</w:t>
            </w:r>
          </w:p>
        </w:tc>
        <w:tc>
          <w:tcPr>
            <w:tcW w:w="1200" w:type="dxa"/>
            <w:vAlign w:val="bottom"/>
            <w:tcBorders>
              <w:right w:val="single" w:sz="8" w:color="auto"/>
            </w:tcBorders>
          </w:tcPr>
          <w:p>
            <w:pPr>
              <w:jc w:val="center"/>
              <w:spacing w:after="0" w:line="204" w:lineRule="exact"/>
              <w:rPr>
                <w:sz w:val="20"/>
                <w:szCs w:val="20"/>
                <w:color w:val="auto"/>
              </w:rPr>
            </w:pPr>
            <w:r>
              <w:rPr>
                <w:rFonts w:ascii="Calibri" w:cs="Calibri" w:eastAsia="Calibri" w:hAnsi="Calibri"/>
                <w:sz w:val="17"/>
                <w:szCs w:val="17"/>
                <w:color w:val="auto"/>
                <w:w w:val="99"/>
              </w:rPr>
              <w:t>1 (4.2%)</w:t>
            </w:r>
          </w:p>
        </w:tc>
        <w:tc>
          <w:tcPr>
            <w:tcW w:w="320" w:type="dxa"/>
            <w:vAlign w:val="bottom"/>
          </w:tcPr>
          <w:p>
            <w:pPr>
              <w:jc w:val="right"/>
              <w:spacing w:after="0" w:line="204" w:lineRule="exact"/>
              <w:rPr>
                <w:sz w:val="20"/>
                <w:szCs w:val="20"/>
                <w:color w:val="auto"/>
              </w:rPr>
            </w:pPr>
            <w:r>
              <w:rPr>
                <w:rFonts w:ascii="Calibri" w:cs="Calibri" w:eastAsia="Calibri" w:hAnsi="Calibri"/>
                <w:sz w:val="17"/>
                <w:szCs w:val="17"/>
                <w:color w:val="auto"/>
              </w:rPr>
              <w:t>13</w:t>
            </w:r>
          </w:p>
        </w:tc>
        <w:tc>
          <w:tcPr>
            <w:tcW w:w="900" w:type="dxa"/>
            <w:vAlign w:val="bottom"/>
            <w:tcBorders>
              <w:right w:val="single" w:sz="8" w:color="auto"/>
            </w:tcBorders>
          </w:tcPr>
          <w:p>
            <w:pPr>
              <w:ind w:left="40"/>
              <w:spacing w:after="0" w:line="204" w:lineRule="exact"/>
              <w:rPr>
                <w:sz w:val="20"/>
                <w:szCs w:val="20"/>
                <w:color w:val="auto"/>
              </w:rPr>
            </w:pPr>
            <w:r>
              <w:rPr>
                <w:rFonts w:ascii="Calibri" w:cs="Calibri" w:eastAsia="Calibri" w:hAnsi="Calibri"/>
                <w:sz w:val="17"/>
                <w:szCs w:val="17"/>
                <w:color w:val="auto"/>
              </w:rPr>
              <w:t>(65.0%)**</w:t>
            </w:r>
          </w:p>
        </w:tc>
        <w:tc>
          <w:tcPr>
            <w:tcW w:w="1220" w:type="dxa"/>
            <w:vAlign w:val="bottom"/>
            <w:tcBorders>
              <w:right w:val="single" w:sz="8" w:color="auto"/>
            </w:tcBorders>
          </w:tcPr>
          <w:p>
            <w:pPr>
              <w:jc w:val="center"/>
              <w:spacing w:after="0" w:line="204" w:lineRule="exact"/>
              <w:rPr>
                <w:sz w:val="20"/>
                <w:szCs w:val="20"/>
                <w:color w:val="auto"/>
              </w:rPr>
            </w:pPr>
            <w:r>
              <w:rPr>
                <w:rFonts w:ascii="Calibri" w:cs="Calibri" w:eastAsia="Calibri" w:hAnsi="Calibri"/>
                <w:sz w:val="17"/>
                <w:szCs w:val="17"/>
                <w:color w:val="auto"/>
                <w:w w:val="99"/>
              </w:rPr>
              <w:t>17 (94.4%)**</w:t>
            </w:r>
          </w:p>
        </w:tc>
        <w:tc>
          <w:tcPr>
            <w:tcW w:w="1200" w:type="dxa"/>
            <w:vAlign w:val="bottom"/>
            <w:tcBorders>
              <w:right w:val="single" w:sz="8" w:color="auto"/>
            </w:tcBorders>
          </w:tcPr>
          <w:p>
            <w:pPr>
              <w:jc w:val="center"/>
              <w:spacing w:after="0" w:line="204" w:lineRule="exact"/>
              <w:rPr>
                <w:sz w:val="20"/>
                <w:szCs w:val="20"/>
                <w:color w:val="auto"/>
              </w:rPr>
            </w:pPr>
            <w:r>
              <w:rPr>
                <w:rFonts w:ascii="Calibri" w:cs="Calibri" w:eastAsia="Calibri" w:hAnsi="Calibri"/>
                <w:sz w:val="17"/>
                <w:szCs w:val="17"/>
                <w:color w:val="auto"/>
                <w:w w:val="99"/>
              </w:rPr>
              <w:t>17 (85.0%)**</w:t>
            </w:r>
          </w:p>
        </w:tc>
      </w:tr>
      <w:tr>
        <w:trPr>
          <w:trHeight w:val="44"/>
        </w:trPr>
        <w:tc>
          <w:tcPr>
            <w:tcW w:w="2480" w:type="dxa"/>
            <w:vAlign w:val="bottom"/>
            <w:tcBorders>
              <w:left w:val="single" w:sz="8" w:color="auto"/>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gridSpan w:val="2"/>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218"/>
        </w:trPr>
        <w:tc>
          <w:tcPr>
            <w:tcW w:w="2480" w:type="dxa"/>
            <w:vAlign w:val="bottom"/>
            <w:tcBorders>
              <w:left w:val="single" w:sz="8" w:color="auto"/>
            </w:tcBorders>
          </w:tcPr>
          <w:p>
            <w:pPr>
              <w:ind w:left="260"/>
              <w:spacing w:after="0" w:line="218" w:lineRule="exact"/>
              <w:rPr>
                <w:sz w:val="20"/>
                <w:szCs w:val="20"/>
                <w:color w:val="auto"/>
              </w:rPr>
            </w:pPr>
            <w:r>
              <w:rPr>
                <w:rFonts w:ascii="Calibri" w:cs="Calibri" w:eastAsia="Calibri" w:hAnsi="Calibri"/>
                <w:sz w:val="19"/>
                <w:szCs w:val="19"/>
                <w:b w:val="1"/>
                <w:bCs w:val="1"/>
                <w:color w:val="auto"/>
              </w:rPr>
              <w:t>50% reducton</w:t>
            </w:r>
          </w:p>
        </w:tc>
        <w:tc>
          <w:tcPr>
            <w:tcW w:w="1260" w:type="dxa"/>
            <w:vAlign w:val="bottom"/>
            <w:tcBorders>
              <w:right w:val="single" w:sz="8" w:color="auto"/>
            </w:tcBorders>
          </w:tcPr>
          <w:p>
            <w:pPr>
              <w:ind w:left="240"/>
              <w:spacing w:after="0" w:line="218" w:lineRule="exact"/>
              <w:rPr>
                <w:sz w:val="20"/>
                <w:szCs w:val="20"/>
                <w:color w:val="auto"/>
              </w:rPr>
            </w:pPr>
            <w:r>
              <w:rPr>
                <w:rFonts w:ascii="Calibri" w:cs="Calibri" w:eastAsia="Calibri" w:hAnsi="Calibri"/>
                <w:sz w:val="19"/>
                <w:szCs w:val="19"/>
                <w:color w:val="auto"/>
              </w:rPr>
              <w:t>n (%)</w:t>
            </w:r>
          </w:p>
        </w:tc>
        <w:tc>
          <w:tcPr>
            <w:tcW w:w="1200" w:type="dxa"/>
            <w:vAlign w:val="bottom"/>
            <w:tcBorders>
              <w:right w:val="single" w:sz="8" w:color="auto"/>
            </w:tcBorders>
          </w:tcPr>
          <w:p>
            <w:pPr>
              <w:jc w:val="center"/>
              <w:spacing w:after="0" w:line="204" w:lineRule="exact"/>
              <w:rPr>
                <w:sz w:val="20"/>
                <w:szCs w:val="20"/>
                <w:color w:val="auto"/>
              </w:rPr>
            </w:pPr>
            <w:r>
              <w:rPr>
                <w:rFonts w:ascii="Calibri" w:cs="Calibri" w:eastAsia="Calibri" w:hAnsi="Calibri"/>
                <w:sz w:val="17"/>
                <w:szCs w:val="17"/>
                <w:color w:val="auto"/>
                <w:w w:val="99"/>
              </w:rPr>
              <w:t>0 (0.0%)</w:t>
            </w:r>
          </w:p>
        </w:tc>
        <w:tc>
          <w:tcPr>
            <w:tcW w:w="1220" w:type="dxa"/>
            <w:vAlign w:val="bottom"/>
            <w:tcBorders>
              <w:right w:val="single" w:sz="8" w:color="auto"/>
            </w:tcBorders>
            <w:gridSpan w:val="2"/>
          </w:tcPr>
          <w:p>
            <w:pPr>
              <w:jc w:val="center"/>
              <w:spacing w:after="0" w:line="204" w:lineRule="exact"/>
              <w:rPr>
                <w:sz w:val="20"/>
                <w:szCs w:val="20"/>
                <w:color w:val="auto"/>
              </w:rPr>
            </w:pPr>
            <w:r>
              <w:rPr>
                <w:rFonts w:ascii="Calibri" w:cs="Calibri" w:eastAsia="Calibri" w:hAnsi="Calibri"/>
                <w:sz w:val="17"/>
                <w:szCs w:val="17"/>
                <w:color w:val="auto"/>
                <w:w w:val="97"/>
              </w:rPr>
              <w:t>8 (40.0%)**</w:t>
            </w:r>
          </w:p>
        </w:tc>
        <w:tc>
          <w:tcPr>
            <w:tcW w:w="1220" w:type="dxa"/>
            <w:vAlign w:val="bottom"/>
            <w:tcBorders>
              <w:right w:val="single" w:sz="8" w:color="auto"/>
            </w:tcBorders>
          </w:tcPr>
          <w:p>
            <w:pPr>
              <w:jc w:val="center"/>
              <w:spacing w:after="0" w:line="204" w:lineRule="exact"/>
              <w:rPr>
                <w:sz w:val="20"/>
                <w:szCs w:val="20"/>
                <w:color w:val="auto"/>
              </w:rPr>
            </w:pPr>
            <w:r>
              <w:rPr>
                <w:rFonts w:ascii="Calibri" w:cs="Calibri" w:eastAsia="Calibri" w:hAnsi="Calibri"/>
                <w:sz w:val="17"/>
                <w:szCs w:val="17"/>
                <w:color w:val="auto"/>
                <w:w w:val="99"/>
              </w:rPr>
              <w:t>13 (72.2%)**</w:t>
            </w:r>
          </w:p>
        </w:tc>
        <w:tc>
          <w:tcPr>
            <w:tcW w:w="1200" w:type="dxa"/>
            <w:vAlign w:val="bottom"/>
            <w:tcBorders>
              <w:right w:val="single" w:sz="8" w:color="auto"/>
            </w:tcBorders>
          </w:tcPr>
          <w:p>
            <w:pPr>
              <w:jc w:val="center"/>
              <w:spacing w:after="0" w:line="204" w:lineRule="exact"/>
              <w:rPr>
                <w:sz w:val="20"/>
                <w:szCs w:val="20"/>
                <w:color w:val="auto"/>
              </w:rPr>
            </w:pPr>
            <w:r>
              <w:rPr>
                <w:rFonts w:ascii="Calibri" w:cs="Calibri" w:eastAsia="Calibri" w:hAnsi="Calibri"/>
                <w:sz w:val="17"/>
                <w:szCs w:val="17"/>
                <w:color w:val="auto"/>
                <w:w w:val="99"/>
              </w:rPr>
              <w:t>14 (70.0%)**</w:t>
            </w:r>
          </w:p>
        </w:tc>
      </w:tr>
      <w:tr>
        <w:trPr>
          <w:trHeight w:val="44"/>
        </w:trPr>
        <w:tc>
          <w:tcPr>
            <w:tcW w:w="2480" w:type="dxa"/>
            <w:vAlign w:val="bottom"/>
            <w:tcBorders>
              <w:left w:val="single" w:sz="8" w:color="auto"/>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210"/>
        </w:trPr>
        <w:tc>
          <w:tcPr>
            <w:tcW w:w="2480" w:type="dxa"/>
            <w:vAlign w:val="bottom"/>
            <w:tcBorders>
              <w:left w:val="single" w:sz="8" w:color="auto"/>
              <w:bottom w:val="single" w:sz="8" w:color="auto"/>
            </w:tcBorders>
          </w:tcPr>
          <w:p>
            <w:pPr>
              <w:ind w:left="260"/>
              <w:spacing w:after="0" w:line="210" w:lineRule="exact"/>
              <w:rPr>
                <w:sz w:val="20"/>
                <w:szCs w:val="20"/>
                <w:color w:val="auto"/>
              </w:rPr>
            </w:pPr>
            <w:r>
              <w:rPr>
                <w:rFonts w:ascii="Calibri" w:cs="Calibri" w:eastAsia="Calibri" w:hAnsi="Calibri"/>
                <w:sz w:val="19"/>
                <w:szCs w:val="19"/>
                <w:b w:val="1"/>
                <w:bCs w:val="1"/>
                <w:color w:val="auto"/>
              </w:rPr>
              <w:t xml:space="preserve">Normalizaton </w:t>
            </w:r>
            <w:r>
              <w:rPr>
                <w:rFonts w:ascii="Calibri" w:cs="Calibri" w:eastAsia="Calibri" w:hAnsi="Calibri"/>
                <w:sz w:val="19"/>
                <w:szCs w:val="19"/>
                <w:color w:val="auto"/>
              </w:rPr>
              <w:t>(≤ 5% LFC)</w:t>
            </w:r>
          </w:p>
        </w:tc>
        <w:tc>
          <w:tcPr>
            <w:tcW w:w="1260" w:type="dxa"/>
            <w:vAlign w:val="bottom"/>
            <w:tcBorders>
              <w:bottom w:val="single" w:sz="8" w:color="auto"/>
              <w:right w:val="single" w:sz="8" w:color="auto"/>
            </w:tcBorders>
          </w:tcPr>
          <w:p>
            <w:pPr>
              <w:ind w:left="240"/>
              <w:spacing w:after="0" w:line="210" w:lineRule="exact"/>
              <w:rPr>
                <w:sz w:val="20"/>
                <w:szCs w:val="20"/>
                <w:color w:val="auto"/>
              </w:rPr>
            </w:pPr>
            <w:r>
              <w:rPr>
                <w:rFonts w:ascii="Calibri" w:cs="Calibri" w:eastAsia="Calibri" w:hAnsi="Calibri"/>
                <w:sz w:val="19"/>
                <w:szCs w:val="19"/>
                <w:color w:val="auto"/>
              </w:rPr>
              <w:t>n (%)</w:t>
            </w:r>
          </w:p>
        </w:tc>
        <w:tc>
          <w:tcPr>
            <w:tcW w:w="1200" w:type="dxa"/>
            <w:vAlign w:val="bottom"/>
            <w:tcBorders>
              <w:bottom w:val="single" w:sz="8" w:color="auto"/>
              <w:right w:val="single" w:sz="8" w:color="auto"/>
            </w:tcBorders>
          </w:tcPr>
          <w:p>
            <w:pPr>
              <w:jc w:val="center"/>
              <w:spacing w:after="0" w:line="204" w:lineRule="exact"/>
              <w:rPr>
                <w:sz w:val="20"/>
                <w:szCs w:val="20"/>
                <w:color w:val="auto"/>
              </w:rPr>
            </w:pPr>
            <w:r>
              <w:rPr>
                <w:rFonts w:ascii="Calibri" w:cs="Calibri" w:eastAsia="Calibri" w:hAnsi="Calibri"/>
                <w:sz w:val="17"/>
                <w:szCs w:val="17"/>
                <w:color w:val="auto"/>
                <w:w w:val="99"/>
              </w:rPr>
              <w:t>0 (0.0%)</w:t>
            </w:r>
          </w:p>
        </w:tc>
        <w:tc>
          <w:tcPr>
            <w:tcW w:w="320" w:type="dxa"/>
            <w:vAlign w:val="bottom"/>
            <w:tcBorders>
              <w:bottom w:val="single" w:sz="8" w:color="auto"/>
            </w:tcBorders>
          </w:tcPr>
          <w:p>
            <w:pPr>
              <w:jc w:val="right"/>
              <w:spacing w:after="0" w:line="204" w:lineRule="exact"/>
              <w:rPr>
                <w:sz w:val="20"/>
                <w:szCs w:val="20"/>
                <w:color w:val="auto"/>
              </w:rPr>
            </w:pPr>
            <w:r>
              <w:rPr>
                <w:rFonts w:ascii="Calibri" w:cs="Calibri" w:eastAsia="Calibri" w:hAnsi="Calibri"/>
                <w:sz w:val="17"/>
                <w:szCs w:val="17"/>
                <w:color w:val="auto"/>
              </w:rPr>
              <w:t>4</w:t>
            </w:r>
          </w:p>
        </w:tc>
        <w:tc>
          <w:tcPr>
            <w:tcW w:w="900" w:type="dxa"/>
            <w:vAlign w:val="bottom"/>
            <w:tcBorders>
              <w:bottom w:val="single" w:sz="8" w:color="auto"/>
              <w:right w:val="single" w:sz="8" w:color="auto"/>
            </w:tcBorders>
          </w:tcPr>
          <w:p>
            <w:pPr>
              <w:ind w:left="40"/>
              <w:spacing w:after="0" w:line="204" w:lineRule="exact"/>
              <w:rPr>
                <w:sz w:val="20"/>
                <w:szCs w:val="20"/>
                <w:color w:val="auto"/>
              </w:rPr>
            </w:pPr>
            <w:r>
              <w:rPr>
                <w:rFonts w:ascii="Calibri" w:cs="Calibri" w:eastAsia="Calibri" w:hAnsi="Calibri"/>
                <w:sz w:val="17"/>
                <w:szCs w:val="17"/>
                <w:color w:val="auto"/>
              </w:rPr>
              <w:t>(20.0%)*</w:t>
            </w:r>
          </w:p>
        </w:tc>
        <w:tc>
          <w:tcPr>
            <w:tcW w:w="1220" w:type="dxa"/>
            <w:vAlign w:val="bottom"/>
            <w:tcBorders>
              <w:bottom w:val="single" w:sz="8" w:color="auto"/>
              <w:right w:val="single" w:sz="8" w:color="auto"/>
            </w:tcBorders>
          </w:tcPr>
          <w:p>
            <w:pPr>
              <w:jc w:val="center"/>
              <w:spacing w:after="0" w:line="204" w:lineRule="exact"/>
              <w:rPr>
                <w:sz w:val="20"/>
                <w:szCs w:val="20"/>
                <w:color w:val="auto"/>
              </w:rPr>
            </w:pPr>
            <w:r>
              <w:rPr>
                <w:rFonts w:ascii="Calibri" w:cs="Calibri" w:eastAsia="Calibri" w:hAnsi="Calibri"/>
                <w:sz w:val="17"/>
                <w:szCs w:val="17"/>
                <w:color w:val="auto"/>
                <w:w w:val="99"/>
              </w:rPr>
              <w:t>10 (55.6%)**</w:t>
            </w:r>
          </w:p>
        </w:tc>
        <w:tc>
          <w:tcPr>
            <w:tcW w:w="1200" w:type="dxa"/>
            <w:vAlign w:val="bottom"/>
            <w:tcBorders>
              <w:bottom w:val="single" w:sz="8" w:color="auto"/>
              <w:right w:val="single" w:sz="8" w:color="auto"/>
            </w:tcBorders>
          </w:tcPr>
          <w:p>
            <w:pPr>
              <w:jc w:val="center"/>
              <w:spacing w:after="0" w:line="204" w:lineRule="exact"/>
              <w:rPr>
                <w:sz w:val="20"/>
                <w:szCs w:val="20"/>
                <w:color w:val="auto"/>
              </w:rPr>
            </w:pPr>
            <w:r>
              <w:rPr>
                <w:rFonts w:ascii="Calibri" w:cs="Calibri" w:eastAsia="Calibri" w:hAnsi="Calibri"/>
                <w:sz w:val="17"/>
                <w:szCs w:val="17"/>
                <w:color w:val="auto"/>
                <w:w w:val="99"/>
              </w:rPr>
              <w:t>10 (50.0%)**</w:t>
            </w:r>
          </w:p>
        </w:tc>
      </w:tr>
    </w:tbl>
    <w:p>
      <w:pPr>
        <w:spacing w:after="0" w:line="32" w:lineRule="exact"/>
        <w:rPr>
          <w:sz w:val="20"/>
          <w:szCs w:val="20"/>
          <w:color w:val="auto"/>
        </w:rPr>
      </w:pPr>
    </w:p>
    <w:p>
      <w:pPr>
        <w:ind w:left="200"/>
        <w:spacing w:after="0"/>
        <w:rPr>
          <w:sz w:val="20"/>
          <w:szCs w:val="20"/>
          <w:color w:val="auto"/>
        </w:rPr>
      </w:pPr>
      <w:r>
        <w:rPr>
          <w:rFonts w:ascii="Calibri" w:cs="Calibri" w:eastAsia="Calibri" w:hAnsi="Calibri"/>
          <w:sz w:val="19"/>
          <w:szCs w:val="19"/>
          <w:i w:val="1"/>
          <w:iCs w:val="1"/>
          <w:color w:val="auto"/>
        </w:rPr>
        <w:t>*p &lt; .05, **p&lt;.001 compared to placebo</w:t>
      </w:r>
    </w:p>
    <w:p>
      <w:pPr>
        <w:spacing w:after="0" w:line="139" w:lineRule="exact"/>
        <w:rPr>
          <w:sz w:val="20"/>
          <w:szCs w:val="20"/>
          <w:color w:val="auto"/>
        </w:rPr>
      </w:pPr>
    </w:p>
    <w:p>
      <w:pPr>
        <w:ind w:left="200"/>
        <w:spacing w:after="0"/>
        <w:rPr>
          <w:sz w:val="20"/>
          <w:szCs w:val="20"/>
          <w:color w:val="auto"/>
        </w:rPr>
      </w:pPr>
      <w:r>
        <w:rPr>
          <w:rFonts w:ascii="Calibri" w:cs="Calibri" w:eastAsia="Calibri" w:hAnsi="Calibri"/>
          <w:sz w:val="19"/>
          <w:szCs w:val="19"/>
          <w:b w:val="1"/>
          <w:bCs w:val="1"/>
          <w:color w:val="auto"/>
        </w:rPr>
        <w:t>Reductons in Body Weight—Efcacy Estmand</w:t>
      </w:r>
    </w:p>
    <w:p>
      <w:pPr>
        <w:spacing w:after="0" w:line="139" w:lineRule="exact"/>
        <w:rPr>
          <w:sz w:val="20"/>
          <w:szCs w:val="20"/>
          <w:color w:val="auto"/>
        </w:rPr>
      </w:pPr>
    </w:p>
    <w:tbl>
      <w:tblPr>
        <w:tblLayout w:type="fixed"/>
        <w:tblInd w:w="210" w:type="dxa"/>
        <w:tblCellMar>
          <w:top w:w="0" w:type="dxa"/>
          <w:left w:w="0" w:type="dxa"/>
          <w:bottom w:w="0" w:type="dxa"/>
          <w:right w:w="0" w:type="dxa"/>
        </w:tblCellMar>
      </w:tblPr>
      <w:tr>
        <w:trPr>
          <w:trHeight w:val="230"/>
        </w:trPr>
        <w:tc>
          <w:tcPr>
            <w:tcW w:w="2400" w:type="dxa"/>
            <w:vAlign w:val="bottom"/>
            <w:tcBorders>
              <w:top w:val="single" w:sz="8" w:color="auto"/>
              <w:left w:val="single" w:sz="8" w:color="auto"/>
            </w:tcBorders>
          </w:tcPr>
          <w:p>
            <w:pPr>
              <w:spacing w:after="0"/>
              <w:rPr>
                <w:sz w:val="20"/>
                <w:szCs w:val="20"/>
                <w:color w:val="auto"/>
              </w:rPr>
            </w:pPr>
          </w:p>
        </w:tc>
        <w:tc>
          <w:tcPr>
            <w:tcW w:w="1180" w:type="dxa"/>
            <w:vAlign w:val="bottom"/>
            <w:tcBorders>
              <w:top w:val="single" w:sz="8" w:color="auto"/>
              <w:right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spacing w:after="0"/>
              <w:rPr>
                <w:sz w:val="20"/>
                <w:szCs w:val="20"/>
                <w:color w:val="auto"/>
              </w:rPr>
            </w:pPr>
          </w:p>
        </w:tc>
        <w:tc>
          <w:tcPr>
            <w:tcW w:w="2260" w:type="dxa"/>
            <w:vAlign w:val="bottom"/>
            <w:tcBorders>
              <w:top w:val="single" w:sz="8" w:color="auto"/>
              <w:bottom w:val="single" w:sz="8" w:color="auto"/>
            </w:tcBorders>
            <w:gridSpan w:val="2"/>
          </w:tcPr>
          <w:p>
            <w:pPr>
              <w:ind w:left="660"/>
              <w:spacing w:after="0" w:line="231" w:lineRule="exact"/>
              <w:rPr>
                <w:sz w:val="20"/>
                <w:szCs w:val="20"/>
                <w:color w:val="auto"/>
              </w:rPr>
            </w:pPr>
            <w:r>
              <w:rPr>
                <w:rFonts w:ascii="Calibri" w:cs="Calibri" w:eastAsia="Calibri" w:hAnsi="Calibri"/>
                <w:sz w:val="19"/>
                <w:szCs w:val="19"/>
                <w:b w:val="1"/>
                <w:bCs w:val="1"/>
                <w:color w:val="auto"/>
              </w:rPr>
              <w:t>Treatment</w:t>
            </w:r>
          </w:p>
        </w:tc>
        <w:tc>
          <w:tcPr>
            <w:tcW w:w="132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tcBorders>
          </w:tcPr>
          <w:p>
            <w:pPr>
              <w:ind w:left="1360"/>
              <w:spacing w:after="0" w:line="201" w:lineRule="exact"/>
              <w:rPr>
                <w:sz w:val="20"/>
                <w:szCs w:val="20"/>
                <w:color w:val="auto"/>
              </w:rPr>
            </w:pPr>
            <w:r>
              <w:rPr>
                <w:rFonts w:ascii="Calibri" w:cs="Calibri" w:eastAsia="Calibri" w:hAnsi="Calibri"/>
                <w:sz w:val="19"/>
                <w:szCs w:val="19"/>
                <w:b w:val="1"/>
                <w:bCs w:val="1"/>
                <w:color w:val="auto"/>
              </w:rPr>
              <w:t>Populaton</w:t>
            </w:r>
          </w:p>
        </w:tc>
        <w:tc>
          <w:tcPr>
            <w:tcW w:w="118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jc w:val="center"/>
              <w:spacing w:after="0" w:line="201" w:lineRule="exact"/>
              <w:rPr>
                <w:sz w:val="20"/>
                <w:szCs w:val="20"/>
                <w:color w:val="auto"/>
              </w:rPr>
            </w:pPr>
            <w:r>
              <w:rPr>
                <w:rFonts w:ascii="Calibri" w:cs="Calibri" w:eastAsia="Calibri" w:hAnsi="Calibri"/>
                <w:sz w:val="19"/>
                <w:szCs w:val="19"/>
                <w:b w:val="1"/>
                <w:bCs w:val="1"/>
                <w:color w:val="auto"/>
              </w:rPr>
              <w:t>Placebo</w:t>
            </w:r>
          </w:p>
        </w:tc>
        <w:tc>
          <w:tcPr>
            <w:tcW w:w="1120" w:type="dxa"/>
            <w:vAlign w:val="bottom"/>
            <w:tcBorders>
              <w:right w:val="single" w:sz="8" w:color="auto"/>
            </w:tcBorders>
          </w:tcPr>
          <w:p>
            <w:pPr>
              <w:ind w:left="280"/>
              <w:spacing w:after="0" w:line="201" w:lineRule="exact"/>
              <w:rPr>
                <w:sz w:val="20"/>
                <w:szCs w:val="20"/>
                <w:color w:val="auto"/>
              </w:rPr>
            </w:pPr>
            <w:r>
              <w:rPr>
                <w:rFonts w:ascii="Calibri" w:cs="Calibri" w:eastAsia="Calibri" w:hAnsi="Calibri"/>
                <w:sz w:val="19"/>
                <w:szCs w:val="19"/>
                <w:b w:val="1"/>
                <w:bCs w:val="1"/>
                <w:color w:val="auto"/>
              </w:rPr>
              <w:t>1.2 mg</w:t>
            </w:r>
          </w:p>
        </w:tc>
        <w:tc>
          <w:tcPr>
            <w:tcW w:w="1140" w:type="dxa"/>
            <w:vAlign w:val="bottom"/>
            <w:tcBorders>
              <w:right w:val="single" w:sz="8" w:color="auto"/>
            </w:tcBorders>
          </w:tcPr>
          <w:p>
            <w:pPr>
              <w:ind w:left="300"/>
              <w:spacing w:after="0" w:line="201" w:lineRule="exact"/>
              <w:rPr>
                <w:sz w:val="20"/>
                <w:szCs w:val="20"/>
                <w:color w:val="auto"/>
              </w:rPr>
            </w:pPr>
            <w:r>
              <w:rPr>
                <w:rFonts w:ascii="Calibri" w:cs="Calibri" w:eastAsia="Calibri" w:hAnsi="Calibri"/>
                <w:sz w:val="19"/>
                <w:szCs w:val="19"/>
                <w:b w:val="1"/>
                <w:bCs w:val="1"/>
                <w:color w:val="auto"/>
              </w:rPr>
              <w:t>1.8 mg</w:t>
            </w:r>
          </w:p>
        </w:tc>
        <w:tc>
          <w:tcPr>
            <w:tcW w:w="1320" w:type="dxa"/>
            <w:vAlign w:val="bottom"/>
            <w:tcBorders>
              <w:right w:val="single" w:sz="8" w:color="auto"/>
            </w:tcBorders>
          </w:tcPr>
          <w:p>
            <w:pPr>
              <w:ind w:left="400"/>
              <w:spacing w:after="0" w:line="201" w:lineRule="exact"/>
              <w:rPr>
                <w:sz w:val="20"/>
                <w:szCs w:val="20"/>
                <w:color w:val="auto"/>
              </w:rPr>
            </w:pPr>
            <w:r>
              <w:rPr>
                <w:rFonts w:ascii="Calibri" w:cs="Calibri" w:eastAsia="Calibri" w:hAnsi="Calibri"/>
                <w:sz w:val="19"/>
                <w:szCs w:val="19"/>
                <w:b w:val="1"/>
                <w:bCs w:val="1"/>
                <w:color w:val="auto"/>
              </w:rPr>
              <w:t>2.4 mg</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spacing w:after="0" w:line="223" w:lineRule="exact"/>
              <w:rPr>
                <w:sz w:val="20"/>
                <w:szCs w:val="20"/>
                <w:color w:val="auto"/>
              </w:rPr>
            </w:pPr>
            <w:r>
              <w:rPr>
                <w:rFonts w:ascii="Calibri" w:cs="Calibri" w:eastAsia="Calibri" w:hAnsi="Calibri"/>
                <w:sz w:val="19"/>
                <w:szCs w:val="19"/>
                <w:b w:val="1"/>
                <w:bCs w:val="1"/>
                <w:color w:val="auto"/>
              </w:rPr>
              <w:t>(n = 24)</w:t>
            </w:r>
          </w:p>
        </w:tc>
        <w:tc>
          <w:tcPr>
            <w:tcW w:w="1120" w:type="dxa"/>
            <w:vAlign w:val="bottom"/>
            <w:tcBorders>
              <w:bottom w:val="single" w:sz="8" w:color="auto"/>
              <w:right w:val="single" w:sz="8" w:color="auto"/>
            </w:tcBorders>
          </w:tcPr>
          <w:p>
            <w:pPr>
              <w:jc w:val="center"/>
              <w:spacing w:after="0" w:line="223" w:lineRule="exact"/>
              <w:rPr>
                <w:sz w:val="20"/>
                <w:szCs w:val="20"/>
                <w:color w:val="auto"/>
              </w:rPr>
            </w:pPr>
            <w:r>
              <w:rPr>
                <w:rFonts w:ascii="Calibri" w:cs="Calibri" w:eastAsia="Calibri" w:hAnsi="Calibri"/>
                <w:sz w:val="19"/>
                <w:szCs w:val="19"/>
                <w:b w:val="1"/>
                <w:bCs w:val="1"/>
                <w:color w:val="auto"/>
              </w:rPr>
              <w:t>(n=23)</w:t>
            </w:r>
          </w:p>
        </w:tc>
        <w:tc>
          <w:tcPr>
            <w:tcW w:w="1140" w:type="dxa"/>
            <w:vAlign w:val="bottom"/>
            <w:tcBorders>
              <w:bottom w:val="single" w:sz="8" w:color="auto"/>
              <w:right w:val="single" w:sz="8" w:color="auto"/>
            </w:tcBorders>
          </w:tcPr>
          <w:p>
            <w:pPr>
              <w:jc w:val="center"/>
              <w:spacing w:after="0" w:line="223" w:lineRule="exact"/>
              <w:rPr>
                <w:sz w:val="20"/>
                <w:szCs w:val="20"/>
                <w:color w:val="auto"/>
              </w:rPr>
            </w:pPr>
            <w:r>
              <w:rPr>
                <w:rFonts w:ascii="Calibri" w:cs="Calibri" w:eastAsia="Calibri" w:hAnsi="Calibri"/>
                <w:sz w:val="19"/>
                <w:szCs w:val="19"/>
                <w:b w:val="1"/>
                <w:bCs w:val="1"/>
                <w:color w:val="auto"/>
                <w:w w:val="98"/>
              </w:rPr>
              <w:t>(n=23)</w:t>
            </w:r>
          </w:p>
        </w:tc>
        <w:tc>
          <w:tcPr>
            <w:tcW w:w="1320" w:type="dxa"/>
            <w:vAlign w:val="bottom"/>
            <w:tcBorders>
              <w:bottom w:val="single" w:sz="8" w:color="auto"/>
              <w:right w:val="single" w:sz="8" w:color="auto"/>
            </w:tcBorders>
          </w:tcPr>
          <w:p>
            <w:pPr>
              <w:jc w:val="center"/>
              <w:spacing w:after="0" w:line="223" w:lineRule="exact"/>
              <w:rPr>
                <w:sz w:val="20"/>
                <w:szCs w:val="20"/>
                <w:color w:val="auto"/>
              </w:rPr>
            </w:pPr>
            <w:r>
              <w:rPr>
                <w:rFonts w:ascii="Calibri" w:cs="Calibri" w:eastAsia="Calibri" w:hAnsi="Calibri"/>
                <w:sz w:val="19"/>
                <w:szCs w:val="19"/>
                <w:b w:val="1"/>
                <w:bCs w:val="1"/>
                <w:color w:val="auto"/>
              </w:rPr>
              <w:t>(n=24)</w:t>
            </w:r>
          </w:p>
        </w:tc>
        <w:tc>
          <w:tcPr>
            <w:tcW w:w="0" w:type="dxa"/>
            <w:vAlign w:val="bottom"/>
          </w:tcPr>
          <w:p>
            <w:pPr>
              <w:spacing w:after="0"/>
              <w:rPr>
                <w:sz w:val="1"/>
                <w:szCs w:val="1"/>
                <w:color w:val="auto"/>
              </w:rPr>
            </w:pPr>
          </w:p>
        </w:tc>
      </w:tr>
      <w:tr>
        <w:trPr>
          <w:trHeight w:val="207"/>
        </w:trPr>
        <w:tc>
          <w:tcPr>
            <w:tcW w:w="2400" w:type="dxa"/>
            <w:vAlign w:val="bottom"/>
            <w:tcBorders>
              <w:left w:val="single" w:sz="8" w:color="auto"/>
            </w:tcBorders>
            <w:vMerge w:val="restart"/>
          </w:tcPr>
          <w:p>
            <w:pPr>
              <w:ind w:left="240"/>
              <w:spacing w:after="0"/>
              <w:rPr>
                <w:sz w:val="20"/>
                <w:szCs w:val="20"/>
                <w:color w:val="auto"/>
              </w:rPr>
            </w:pPr>
            <w:r>
              <w:rPr>
                <w:rFonts w:ascii="Calibri" w:cs="Calibri" w:eastAsia="Calibri" w:hAnsi="Calibri"/>
                <w:sz w:val="19"/>
                <w:szCs w:val="19"/>
                <w:b w:val="1"/>
                <w:bCs w:val="1"/>
                <w:color w:val="auto"/>
              </w:rPr>
              <w:t xml:space="preserve">No diabetes, </w:t>
            </w:r>
            <w:r>
              <w:rPr>
                <w:rFonts w:ascii="Calibri" w:cs="Calibri" w:eastAsia="Calibri" w:hAnsi="Calibri"/>
                <w:sz w:val="19"/>
                <w:szCs w:val="19"/>
                <w:color w:val="auto"/>
              </w:rPr>
              <w:t>(% change)</w:t>
            </w:r>
          </w:p>
        </w:tc>
        <w:tc>
          <w:tcPr>
            <w:tcW w:w="1180" w:type="dxa"/>
            <w:vAlign w:val="bottom"/>
            <w:tcBorders>
              <w:right w:val="single" w:sz="8" w:color="auto"/>
            </w:tcBorders>
          </w:tcPr>
          <w:p>
            <w:pPr>
              <w:ind w:left="180"/>
              <w:spacing w:after="0" w:line="207" w:lineRule="exact"/>
              <w:rPr>
                <w:sz w:val="20"/>
                <w:szCs w:val="20"/>
                <w:color w:val="auto"/>
              </w:rPr>
            </w:pPr>
            <w:r>
              <w:rPr>
                <w:rFonts w:ascii="Calibri" w:cs="Calibri" w:eastAsia="Calibri" w:hAnsi="Calibri"/>
                <w:sz w:val="19"/>
                <w:szCs w:val="19"/>
                <w:color w:val="auto"/>
              </w:rPr>
              <w:t>LSM (SE)</w:t>
            </w:r>
          </w:p>
        </w:tc>
        <w:tc>
          <w:tcPr>
            <w:tcW w:w="1420" w:type="dxa"/>
            <w:vAlign w:val="bottom"/>
            <w:tcBorders>
              <w:right w:val="single" w:sz="8" w:color="auto"/>
            </w:tcBorders>
          </w:tcPr>
          <w:p>
            <w:pPr>
              <w:jc w:val="center"/>
              <w:spacing w:after="0" w:line="207" w:lineRule="exact"/>
              <w:rPr>
                <w:sz w:val="20"/>
                <w:szCs w:val="20"/>
                <w:color w:val="auto"/>
              </w:rPr>
            </w:pPr>
            <w:r>
              <w:rPr>
                <w:rFonts w:ascii="Calibri" w:cs="Calibri" w:eastAsia="Calibri" w:hAnsi="Calibri"/>
                <w:sz w:val="19"/>
                <w:szCs w:val="19"/>
                <w:color w:val="auto"/>
                <w:w w:val="93"/>
              </w:rPr>
              <w:t>-0.2</w:t>
            </w:r>
          </w:p>
        </w:tc>
        <w:tc>
          <w:tcPr>
            <w:tcW w:w="1120" w:type="dxa"/>
            <w:vAlign w:val="bottom"/>
            <w:tcBorders>
              <w:right w:val="single" w:sz="8" w:color="auto"/>
            </w:tcBorders>
          </w:tcPr>
          <w:p>
            <w:pPr>
              <w:jc w:val="center"/>
              <w:spacing w:after="0" w:line="207" w:lineRule="exact"/>
              <w:rPr>
                <w:sz w:val="20"/>
                <w:szCs w:val="20"/>
                <w:color w:val="auto"/>
              </w:rPr>
            </w:pPr>
            <w:r>
              <w:rPr>
                <w:rFonts w:ascii="Calibri" w:cs="Calibri" w:eastAsia="Calibri" w:hAnsi="Calibri"/>
                <w:sz w:val="19"/>
                <w:szCs w:val="19"/>
                <w:color w:val="auto"/>
              </w:rPr>
              <w:t>-3.4</w:t>
            </w:r>
            <w:r>
              <w:rPr>
                <w:rFonts w:ascii="Calibri" w:cs="Calibri" w:eastAsia="Calibri" w:hAnsi="Calibri"/>
                <w:sz w:val="19"/>
                <w:szCs w:val="19"/>
                <w:i w:val="1"/>
                <w:iCs w:val="1"/>
                <w:color w:val="auto"/>
              </w:rPr>
              <w:t>**</w:t>
            </w:r>
          </w:p>
        </w:tc>
        <w:tc>
          <w:tcPr>
            <w:tcW w:w="1140" w:type="dxa"/>
            <w:vAlign w:val="bottom"/>
            <w:tcBorders>
              <w:right w:val="single" w:sz="8" w:color="auto"/>
            </w:tcBorders>
          </w:tcPr>
          <w:p>
            <w:pPr>
              <w:jc w:val="center"/>
              <w:spacing w:after="0" w:line="207" w:lineRule="exact"/>
              <w:rPr>
                <w:sz w:val="20"/>
                <w:szCs w:val="20"/>
                <w:color w:val="auto"/>
              </w:rPr>
            </w:pPr>
            <w:r>
              <w:rPr>
                <w:rFonts w:ascii="Calibri" w:cs="Calibri" w:eastAsia="Calibri" w:hAnsi="Calibri"/>
                <w:sz w:val="19"/>
                <w:szCs w:val="19"/>
                <w:color w:val="auto"/>
              </w:rPr>
              <w:t>-4.9</w:t>
            </w:r>
            <w:r>
              <w:rPr>
                <w:rFonts w:ascii="Calibri" w:cs="Calibri" w:eastAsia="Calibri" w:hAnsi="Calibri"/>
                <w:sz w:val="19"/>
                <w:szCs w:val="19"/>
                <w:i w:val="1"/>
                <w:iCs w:val="1"/>
                <w:color w:val="auto"/>
              </w:rPr>
              <w:t>**</w:t>
            </w:r>
          </w:p>
        </w:tc>
        <w:tc>
          <w:tcPr>
            <w:tcW w:w="1320" w:type="dxa"/>
            <w:vAlign w:val="bottom"/>
            <w:tcBorders>
              <w:right w:val="single" w:sz="8" w:color="auto"/>
            </w:tcBorders>
          </w:tcPr>
          <w:p>
            <w:pPr>
              <w:jc w:val="center"/>
              <w:spacing w:after="0" w:line="207" w:lineRule="exact"/>
              <w:rPr>
                <w:sz w:val="20"/>
                <w:szCs w:val="20"/>
                <w:color w:val="auto"/>
              </w:rPr>
            </w:pPr>
            <w:r>
              <w:rPr>
                <w:rFonts w:ascii="Calibri" w:cs="Calibri" w:eastAsia="Calibri" w:hAnsi="Calibri"/>
                <w:sz w:val="19"/>
                <w:szCs w:val="19"/>
                <w:color w:val="auto"/>
                <w:w w:val="98"/>
              </w:rPr>
              <w:t>-3.5</w:t>
            </w:r>
            <w:r>
              <w:rPr>
                <w:rFonts w:ascii="Calibri" w:cs="Calibri" w:eastAsia="Calibri" w:hAnsi="Calibri"/>
                <w:sz w:val="19"/>
                <w:szCs w:val="19"/>
                <w:i w:val="1"/>
                <w:iCs w:val="1"/>
                <w:color w:val="auto"/>
                <w:w w:val="98"/>
              </w:rPr>
              <w:t>**</w:t>
            </w:r>
          </w:p>
        </w:tc>
        <w:tc>
          <w:tcPr>
            <w:tcW w:w="0" w:type="dxa"/>
            <w:vAlign w:val="bottom"/>
          </w:tcPr>
          <w:p>
            <w:pPr>
              <w:spacing w:after="0"/>
              <w:rPr>
                <w:sz w:val="1"/>
                <w:szCs w:val="1"/>
                <w:color w:val="auto"/>
              </w:rPr>
            </w:pPr>
          </w:p>
        </w:tc>
      </w:tr>
      <w:tr>
        <w:trPr>
          <w:trHeight w:val="108"/>
        </w:trPr>
        <w:tc>
          <w:tcPr>
            <w:tcW w:w="2400" w:type="dxa"/>
            <w:vAlign w:val="bottom"/>
            <w:tcBorders>
              <w:left w:val="single" w:sz="8" w:color="auto"/>
            </w:tcBorders>
            <w:vMerge w:val="continue"/>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vMerge w:val="restart"/>
          </w:tcPr>
          <w:p>
            <w:pPr>
              <w:jc w:val="center"/>
              <w:spacing w:after="0" w:line="223" w:lineRule="exact"/>
              <w:rPr>
                <w:sz w:val="20"/>
                <w:szCs w:val="20"/>
                <w:color w:val="auto"/>
              </w:rPr>
            </w:pPr>
            <w:r>
              <w:rPr>
                <w:rFonts w:ascii="Calibri" w:cs="Calibri" w:eastAsia="Calibri" w:hAnsi="Calibri"/>
                <w:sz w:val="19"/>
                <w:szCs w:val="19"/>
                <w:color w:val="auto"/>
              </w:rPr>
              <w:t>(0.7)</w:t>
            </w:r>
          </w:p>
        </w:tc>
        <w:tc>
          <w:tcPr>
            <w:tcW w:w="1120" w:type="dxa"/>
            <w:vAlign w:val="bottom"/>
            <w:tcBorders>
              <w:right w:val="single" w:sz="8" w:color="auto"/>
            </w:tcBorders>
            <w:vMerge w:val="restart"/>
          </w:tcPr>
          <w:p>
            <w:pPr>
              <w:jc w:val="center"/>
              <w:spacing w:after="0" w:line="223" w:lineRule="exact"/>
              <w:rPr>
                <w:sz w:val="20"/>
                <w:szCs w:val="20"/>
                <w:color w:val="auto"/>
              </w:rPr>
            </w:pPr>
            <w:r>
              <w:rPr>
                <w:rFonts w:ascii="Calibri" w:cs="Calibri" w:eastAsia="Calibri" w:hAnsi="Calibri"/>
                <w:sz w:val="19"/>
                <w:szCs w:val="19"/>
                <w:color w:val="auto"/>
              </w:rPr>
              <w:t>(0.8)</w:t>
            </w:r>
          </w:p>
        </w:tc>
        <w:tc>
          <w:tcPr>
            <w:tcW w:w="1140" w:type="dxa"/>
            <w:vAlign w:val="bottom"/>
            <w:tcBorders>
              <w:right w:val="single" w:sz="8" w:color="auto"/>
            </w:tcBorders>
            <w:vMerge w:val="restart"/>
          </w:tcPr>
          <w:p>
            <w:pPr>
              <w:jc w:val="center"/>
              <w:spacing w:after="0" w:line="223" w:lineRule="exact"/>
              <w:rPr>
                <w:sz w:val="20"/>
                <w:szCs w:val="20"/>
                <w:color w:val="auto"/>
              </w:rPr>
            </w:pPr>
            <w:r>
              <w:rPr>
                <w:rFonts w:ascii="Calibri" w:cs="Calibri" w:eastAsia="Calibri" w:hAnsi="Calibri"/>
                <w:sz w:val="19"/>
                <w:szCs w:val="19"/>
                <w:color w:val="auto"/>
              </w:rPr>
              <w:t>(0.8)</w:t>
            </w:r>
          </w:p>
        </w:tc>
        <w:tc>
          <w:tcPr>
            <w:tcW w:w="1320" w:type="dxa"/>
            <w:vAlign w:val="bottom"/>
            <w:tcBorders>
              <w:right w:val="single" w:sz="8" w:color="auto"/>
            </w:tcBorders>
            <w:vMerge w:val="restart"/>
          </w:tcPr>
          <w:p>
            <w:pPr>
              <w:jc w:val="center"/>
              <w:spacing w:after="0" w:line="223" w:lineRule="exact"/>
              <w:rPr>
                <w:sz w:val="20"/>
                <w:szCs w:val="20"/>
                <w:color w:val="auto"/>
              </w:rPr>
            </w:pPr>
            <w:r>
              <w:rPr>
                <w:rFonts w:ascii="Calibri" w:cs="Calibri" w:eastAsia="Calibri" w:hAnsi="Calibri"/>
                <w:sz w:val="19"/>
                <w:szCs w:val="19"/>
                <w:color w:val="auto"/>
              </w:rPr>
              <w:t>(0.8)</w:t>
            </w:r>
          </w:p>
        </w:tc>
        <w:tc>
          <w:tcPr>
            <w:tcW w:w="0" w:type="dxa"/>
            <w:vAlign w:val="bottom"/>
          </w:tcPr>
          <w:p>
            <w:pPr>
              <w:spacing w:after="0"/>
              <w:rPr>
                <w:sz w:val="1"/>
                <w:szCs w:val="1"/>
                <w:color w:val="auto"/>
              </w:rPr>
            </w:pPr>
          </w:p>
        </w:tc>
      </w:tr>
      <w:tr>
        <w:trPr>
          <w:trHeight w:val="126"/>
        </w:trPr>
        <w:tc>
          <w:tcPr>
            <w:tcW w:w="2400" w:type="dxa"/>
            <w:vAlign w:val="bottom"/>
            <w:tcBorders>
              <w:left w:val="single" w:sz="8" w:color="auto"/>
              <w:bottom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1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400" w:type="dxa"/>
            <w:vAlign w:val="bottom"/>
            <w:tcBorders>
              <w:left w:val="single" w:sz="8" w:color="auto"/>
            </w:tcBorders>
            <w:vMerge w:val="restart"/>
          </w:tcPr>
          <w:p>
            <w:pPr>
              <w:ind w:left="240"/>
              <w:spacing w:after="0"/>
              <w:rPr>
                <w:sz w:val="20"/>
                <w:szCs w:val="20"/>
                <w:color w:val="auto"/>
              </w:rPr>
            </w:pPr>
            <w:r>
              <w:rPr>
                <w:rFonts w:ascii="Calibri" w:cs="Calibri" w:eastAsia="Calibri" w:hAnsi="Calibri"/>
                <w:sz w:val="19"/>
                <w:szCs w:val="19"/>
                <w:b w:val="1"/>
                <w:bCs w:val="1"/>
                <w:color w:val="auto"/>
              </w:rPr>
              <w:t xml:space="preserve">Diabetes, </w:t>
            </w:r>
            <w:r>
              <w:rPr>
                <w:rFonts w:ascii="Calibri" w:cs="Calibri" w:eastAsia="Calibri" w:hAnsi="Calibri"/>
                <w:sz w:val="19"/>
                <w:szCs w:val="19"/>
                <w:color w:val="auto"/>
              </w:rPr>
              <w:t>(% change)</w:t>
            </w:r>
          </w:p>
        </w:tc>
        <w:tc>
          <w:tcPr>
            <w:tcW w:w="1180" w:type="dxa"/>
            <w:vAlign w:val="bottom"/>
            <w:tcBorders>
              <w:right w:val="single" w:sz="8" w:color="auto"/>
            </w:tcBorders>
          </w:tcPr>
          <w:p>
            <w:pPr>
              <w:ind w:left="180"/>
              <w:spacing w:after="0" w:line="207" w:lineRule="exact"/>
              <w:rPr>
                <w:sz w:val="20"/>
                <w:szCs w:val="20"/>
                <w:color w:val="auto"/>
              </w:rPr>
            </w:pPr>
            <w:r>
              <w:rPr>
                <w:rFonts w:ascii="Calibri" w:cs="Calibri" w:eastAsia="Calibri" w:hAnsi="Calibri"/>
                <w:sz w:val="19"/>
                <w:szCs w:val="19"/>
                <w:color w:val="auto"/>
              </w:rPr>
              <w:t>LSM (SE)</w:t>
            </w:r>
          </w:p>
        </w:tc>
        <w:tc>
          <w:tcPr>
            <w:tcW w:w="1420" w:type="dxa"/>
            <w:vAlign w:val="bottom"/>
            <w:tcBorders>
              <w:right w:val="single" w:sz="8" w:color="auto"/>
            </w:tcBorders>
          </w:tcPr>
          <w:p>
            <w:pPr>
              <w:jc w:val="center"/>
              <w:spacing w:after="0" w:line="207" w:lineRule="exact"/>
              <w:rPr>
                <w:sz w:val="20"/>
                <w:szCs w:val="20"/>
                <w:color w:val="auto"/>
              </w:rPr>
            </w:pPr>
            <w:r>
              <w:rPr>
                <w:rFonts w:ascii="Calibri" w:cs="Calibri" w:eastAsia="Calibri" w:hAnsi="Calibri"/>
                <w:sz w:val="19"/>
                <w:szCs w:val="19"/>
                <w:color w:val="auto"/>
              </w:rPr>
              <w:t>-0.5</w:t>
            </w:r>
          </w:p>
        </w:tc>
        <w:tc>
          <w:tcPr>
            <w:tcW w:w="1120" w:type="dxa"/>
            <w:vAlign w:val="bottom"/>
            <w:tcBorders>
              <w:right w:val="single" w:sz="8" w:color="auto"/>
            </w:tcBorders>
          </w:tcPr>
          <w:p>
            <w:pPr>
              <w:jc w:val="center"/>
              <w:spacing w:after="0" w:line="207" w:lineRule="exact"/>
              <w:rPr>
                <w:sz w:val="20"/>
                <w:szCs w:val="20"/>
                <w:color w:val="auto"/>
              </w:rPr>
            </w:pPr>
            <w:r>
              <w:rPr>
                <w:rFonts w:ascii="Calibri" w:cs="Calibri" w:eastAsia="Calibri" w:hAnsi="Calibri"/>
                <w:sz w:val="19"/>
                <w:szCs w:val="19"/>
                <w:color w:val="auto"/>
              </w:rPr>
              <w:t>-3.3*</w:t>
            </w:r>
          </w:p>
        </w:tc>
        <w:tc>
          <w:tcPr>
            <w:tcW w:w="1140" w:type="dxa"/>
            <w:vAlign w:val="bottom"/>
            <w:tcBorders>
              <w:right w:val="single" w:sz="8" w:color="auto"/>
            </w:tcBorders>
          </w:tcPr>
          <w:p>
            <w:pPr>
              <w:jc w:val="center"/>
              <w:spacing w:after="0" w:line="207" w:lineRule="exact"/>
              <w:rPr>
                <w:sz w:val="20"/>
                <w:szCs w:val="20"/>
                <w:color w:val="auto"/>
              </w:rPr>
            </w:pPr>
            <w:r>
              <w:rPr>
                <w:rFonts w:ascii="Calibri" w:cs="Calibri" w:eastAsia="Calibri" w:hAnsi="Calibri"/>
                <w:sz w:val="19"/>
                <w:szCs w:val="19"/>
                <w:color w:val="auto"/>
                <w:w w:val="96"/>
              </w:rPr>
              <w:t>-3.8*</w:t>
            </w:r>
          </w:p>
        </w:tc>
        <w:tc>
          <w:tcPr>
            <w:tcW w:w="1320" w:type="dxa"/>
            <w:vAlign w:val="bottom"/>
            <w:tcBorders>
              <w:right w:val="single" w:sz="8" w:color="auto"/>
            </w:tcBorders>
          </w:tcPr>
          <w:p>
            <w:pPr>
              <w:jc w:val="center"/>
              <w:spacing w:after="0" w:line="207" w:lineRule="exact"/>
              <w:rPr>
                <w:sz w:val="20"/>
                <w:szCs w:val="20"/>
                <w:color w:val="auto"/>
              </w:rPr>
            </w:pPr>
            <w:r>
              <w:rPr>
                <w:rFonts w:ascii="Calibri" w:cs="Calibri" w:eastAsia="Calibri" w:hAnsi="Calibri"/>
                <w:sz w:val="19"/>
                <w:szCs w:val="19"/>
                <w:color w:val="auto"/>
              </w:rPr>
              <w:t>-4.4*</w:t>
            </w:r>
          </w:p>
        </w:tc>
        <w:tc>
          <w:tcPr>
            <w:tcW w:w="0" w:type="dxa"/>
            <w:vAlign w:val="bottom"/>
          </w:tcPr>
          <w:p>
            <w:pPr>
              <w:spacing w:after="0"/>
              <w:rPr>
                <w:sz w:val="1"/>
                <w:szCs w:val="1"/>
                <w:color w:val="auto"/>
              </w:rPr>
            </w:pPr>
          </w:p>
        </w:tc>
      </w:tr>
      <w:tr>
        <w:trPr>
          <w:trHeight w:val="108"/>
        </w:trPr>
        <w:tc>
          <w:tcPr>
            <w:tcW w:w="2400" w:type="dxa"/>
            <w:vAlign w:val="bottom"/>
            <w:tcBorders>
              <w:left w:val="single" w:sz="8" w:color="auto"/>
            </w:tcBorders>
            <w:vMerge w:val="continue"/>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vMerge w:val="restart"/>
          </w:tcPr>
          <w:p>
            <w:pPr>
              <w:jc w:val="center"/>
              <w:spacing w:after="0" w:line="223" w:lineRule="exact"/>
              <w:rPr>
                <w:sz w:val="20"/>
                <w:szCs w:val="20"/>
                <w:color w:val="auto"/>
              </w:rPr>
            </w:pPr>
            <w:r>
              <w:rPr>
                <w:rFonts w:ascii="Calibri" w:cs="Calibri" w:eastAsia="Calibri" w:hAnsi="Calibri"/>
                <w:sz w:val="19"/>
                <w:szCs w:val="19"/>
                <w:color w:val="auto"/>
              </w:rPr>
              <w:t>(1.3)</w:t>
            </w:r>
          </w:p>
        </w:tc>
        <w:tc>
          <w:tcPr>
            <w:tcW w:w="1120" w:type="dxa"/>
            <w:vAlign w:val="bottom"/>
            <w:tcBorders>
              <w:right w:val="single" w:sz="8" w:color="auto"/>
            </w:tcBorders>
            <w:vMerge w:val="restart"/>
          </w:tcPr>
          <w:p>
            <w:pPr>
              <w:jc w:val="center"/>
              <w:spacing w:after="0" w:line="223" w:lineRule="exact"/>
              <w:rPr>
                <w:sz w:val="20"/>
                <w:szCs w:val="20"/>
                <w:color w:val="auto"/>
              </w:rPr>
            </w:pPr>
            <w:r>
              <w:rPr>
                <w:rFonts w:ascii="Calibri" w:cs="Calibri" w:eastAsia="Calibri" w:hAnsi="Calibri"/>
                <w:sz w:val="19"/>
                <w:szCs w:val="19"/>
                <w:color w:val="auto"/>
              </w:rPr>
              <w:t>(1.1)</w:t>
            </w:r>
          </w:p>
        </w:tc>
        <w:tc>
          <w:tcPr>
            <w:tcW w:w="1140" w:type="dxa"/>
            <w:vAlign w:val="bottom"/>
            <w:tcBorders>
              <w:right w:val="single" w:sz="8" w:color="auto"/>
            </w:tcBorders>
            <w:vMerge w:val="restart"/>
          </w:tcPr>
          <w:p>
            <w:pPr>
              <w:jc w:val="center"/>
              <w:spacing w:after="0" w:line="223" w:lineRule="exact"/>
              <w:rPr>
                <w:sz w:val="20"/>
                <w:szCs w:val="20"/>
                <w:color w:val="auto"/>
              </w:rPr>
            </w:pPr>
            <w:r>
              <w:rPr>
                <w:rFonts w:ascii="Calibri" w:cs="Calibri" w:eastAsia="Calibri" w:hAnsi="Calibri"/>
                <w:sz w:val="19"/>
                <w:szCs w:val="19"/>
                <w:color w:val="auto"/>
              </w:rPr>
              <w:t>(1.2)</w:t>
            </w:r>
          </w:p>
        </w:tc>
        <w:tc>
          <w:tcPr>
            <w:tcW w:w="1320" w:type="dxa"/>
            <w:vAlign w:val="bottom"/>
            <w:tcBorders>
              <w:right w:val="single" w:sz="8" w:color="auto"/>
            </w:tcBorders>
            <w:vMerge w:val="restart"/>
          </w:tcPr>
          <w:p>
            <w:pPr>
              <w:jc w:val="center"/>
              <w:spacing w:after="0" w:line="223" w:lineRule="exact"/>
              <w:rPr>
                <w:sz w:val="20"/>
                <w:szCs w:val="20"/>
                <w:color w:val="auto"/>
              </w:rPr>
            </w:pPr>
            <w:r>
              <w:rPr>
                <w:rFonts w:ascii="Calibri" w:cs="Calibri" w:eastAsia="Calibri" w:hAnsi="Calibri"/>
                <w:sz w:val="19"/>
                <w:szCs w:val="19"/>
                <w:color w:val="auto"/>
              </w:rPr>
              <w:t>(1.3)</w:t>
            </w:r>
          </w:p>
        </w:tc>
        <w:tc>
          <w:tcPr>
            <w:tcW w:w="0" w:type="dxa"/>
            <w:vAlign w:val="bottom"/>
          </w:tcPr>
          <w:p>
            <w:pPr>
              <w:spacing w:after="0"/>
              <w:rPr>
                <w:sz w:val="1"/>
                <w:szCs w:val="1"/>
                <w:color w:val="auto"/>
              </w:rPr>
            </w:pPr>
          </w:p>
        </w:tc>
      </w:tr>
      <w:tr>
        <w:trPr>
          <w:trHeight w:val="126"/>
        </w:trPr>
        <w:tc>
          <w:tcPr>
            <w:tcW w:w="2400" w:type="dxa"/>
            <w:vAlign w:val="bottom"/>
            <w:tcBorders>
              <w:left w:val="single" w:sz="8" w:color="auto"/>
              <w:bottom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1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400" w:type="dxa"/>
            <w:vAlign w:val="bottom"/>
            <w:tcBorders>
              <w:left w:val="single" w:sz="8" w:color="auto"/>
            </w:tcBorders>
            <w:vMerge w:val="restart"/>
          </w:tcPr>
          <w:p>
            <w:pPr>
              <w:ind w:left="240"/>
              <w:spacing w:after="0"/>
              <w:rPr>
                <w:sz w:val="20"/>
                <w:szCs w:val="20"/>
                <w:color w:val="auto"/>
              </w:rPr>
            </w:pPr>
            <w:r>
              <w:rPr>
                <w:rFonts w:ascii="Calibri" w:cs="Calibri" w:eastAsia="Calibri" w:hAnsi="Calibri"/>
                <w:sz w:val="19"/>
                <w:szCs w:val="19"/>
                <w:b w:val="1"/>
                <w:bCs w:val="1"/>
                <w:color w:val="auto"/>
              </w:rPr>
              <w:t xml:space="preserve">All subjects </w:t>
            </w:r>
            <w:r>
              <w:rPr>
                <w:rFonts w:ascii="Calibri" w:cs="Calibri" w:eastAsia="Calibri" w:hAnsi="Calibri"/>
                <w:sz w:val="19"/>
                <w:szCs w:val="19"/>
                <w:color w:val="auto"/>
              </w:rPr>
              <w:t>(% change)</w:t>
            </w:r>
          </w:p>
        </w:tc>
        <w:tc>
          <w:tcPr>
            <w:tcW w:w="1180" w:type="dxa"/>
            <w:vAlign w:val="bottom"/>
            <w:tcBorders>
              <w:right w:val="single" w:sz="8" w:color="auto"/>
            </w:tcBorders>
          </w:tcPr>
          <w:p>
            <w:pPr>
              <w:ind w:left="180"/>
              <w:spacing w:after="0" w:line="207" w:lineRule="exact"/>
              <w:rPr>
                <w:sz w:val="20"/>
                <w:szCs w:val="20"/>
                <w:color w:val="auto"/>
              </w:rPr>
            </w:pPr>
            <w:r>
              <w:rPr>
                <w:rFonts w:ascii="Calibri" w:cs="Calibri" w:eastAsia="Calibri" w:hAnsi="Calibri"/>
                <w:sz w:val="19"/>
                <w:szCs w:val="19"/>
                <w:color w:val="auto"/>
              </w:rPr>
              <w:t>LSM (SE)</w:t>
            </w:r>
          </w:p>
        </w:tc>
        <w:tc>
          <w:tcPr>
            <w:tcW w:w="1420" w:type="dxa"/>
            <w:vAlign w:val="bottom"/>
            <w:tcBorders>
              <w:right w:val="single" w:sz="8" w:color="auto"/>
            </w:tcBorders>
          </w:tcPr>
          <w:p>
            <w:pPr>
              <w:jc w:val="center"/>
              <w:spacing w:after="0" w:line="207" w:lineRule="exact"/>
              <w:rPr>
                <w:sz w:val="20"/>
                <w:szCs w:val="20"/>
                <w:color w:val="auto"/>
              </w:rPr>
            </w:pPr>
            <w:r>
              <w:rPr>
                <w:rFonts w:ascii="Calibri" w:cs="Calibri" w:eastAsia="Calibri" w:hAnsi="Calibri"/>
                <w:sz w:val="19"/>
                <w:szCs w:val="19"/>
                <w:color w:val="auto"/>
              </w:rPr>
              <w:t>-0.2</w:t>
            </w:r>
          </w:p>
        </w:tc>
        <w:tc>
          <w:tcPr>
            <w:tcW w:w="1120" w:type="dxa"/>
            <w:vAlign w:val="bottom"/>
            <w:tcBorders>
              <w:right w:val="single" w:sz="8" w:color="auto"/>
            </w:tcBorders>
          </w:tcPr>
          <w:p>
            <w:pPr>
              <w:jc w:val="center"/>
              <w:spacing w:after="0" w:line="207" w:lineRule="exact"/>
              <w:rPr>
                <w:sz w:val="20"/>
                <w:szCs w:val="20"/>
                <w:color w:val="auto"/>
              </w:rPr>
            </w:pPr>
            <w:r>
              <w:rPr>
                <w:rFonts w:ascii="Calibri" w:cs="Calibri" w:eastAsia="Calibri" w:hAnsi="Calibri"/>
                <w:sz w:val="19"/>
                <w:szCs w:val="19"/>
                <w:color w:val="auto"/>
              </w:rPr>
              <w:t>-3.4**</w:t>
            </w:r>
          </w:p>
        </w:tc>
        <w:tc>
          <w:tcPr>
            <w:tcW w:w="1140" w:type="dxa"/>
            <w:vAlign w:val="bottom"/>
            <w:tcBorders>
              <w:right w:val="single" w:sz="8" w:color="auto"/>
            </w:tcBorders>
          </w:tcPr>
          <w:p>
            <w:pPr>
              <w:jc w:val="center"/>
              <w:spacing w:after="0" w:line="207" w:lineRule="exact"/>
              <w:rPr>
                <w:sz w:val="20"/>
                <w:szCs w:val="20"/>
                <w:color w:val="auto"/>
              </w:rPr>
            </w:pPr>
            <w:r>
              <w:rPr>
                <w:rFonts w:ascii="Calibri" w:cs="Calibri" w:eastAsia="Calibri" w:hAnsi="Calibri"/>
                <w:sz w:val="19"/>
                <w:szCs w:val="19"/>
                <w:color w:val="auto"/>
              </w:rPr>
              <w:t>-4.3**</w:t>
            </w:r>
          </w:p>
        </w:tc>
        <w:tc>
          <w:tcPr>
            <w:tcW w:w="1320" w:type="dxa"/>
            <w:vAlign w:val="bottom"/>
            <w:tcBorders>
              <w:right w:val="single" w:sz="8" w:color="auto"/>
            </w:tcBorders>
          </w:tcPr>
          <w:p>
            <w:pPr>
              <w:jc w:val="center"/>
              <w:spacing w:after="0" w:line="207" w:lineRule="exact"/>
              <w:rPr>
                <w:sz w:val="20"/>
                <w:szCs w:val="20"/>
                <w:color w:val="auto"/>
              </w:rPr>
            </w:pPr>
            <w:r>
              <w:rPr>
                <w:rFonts w:ascii="Calibri" w:cs="Calibri" w:eastAsia="Calibri" w:hAnsi="Calibri"/>
                <w:sz w:val="19"/>
                <w:szCs w:val="19"/>
                <w:color w:val="auto"/>
                <w:w w:val="98"/>
              </w:rPr>
              <w:t>-3.7**</w:t>
            </w:r>
          </w:p>
        </w:tc>
        <w:tc>
          <w:tcPr>
            <w:tcW w:w="0" w:type="dxa"/>
            <w:vAlign w:val="bottom"/>
          </w:tcPr>
          <w:p>
            <w:pPr>
              <w:spacing w:after="0"/>
              <w:rPr>
                <w:sz w:val="1"/>
                <w:szCs w:val="1"/>
                <w:color w:val="auto"/>
              </w:rPr>
            </w:pPr>
          </w:p>
        </w:tc>
      </w:tr>
      <w:tr>
        <w:trPr>
          <w:trHeight w:val="108"/>
        </w:trPr>
        <w:tc>
          <w:tcPr>
            <w:tcW w:w="2400" w:type="dxa"/>
            <w:vAlign w:val="bottom"/>
            <w:tcBorders>
              <w:left w:val="single" w:sz="8" w:color="auto"/>
            </w:tcBorders>
            <w:vMerge w:val="continue"/>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vMerge w:val="restart"/>
          </w:tcPr>
          <w:p>
            <w:pPr>
              <w:jc w:val="center"/>
              <w:spacing w:after="0" w:line="223" w:lineRule="exact"/>
              <w:rPr>
                <w:sz w:val="20"/>
                <w:szCs w:val="20"/>
                <w:color w:val="auto"/>
              </w:rPr>
            </w:pPr>
            <w:r>
              <w:rPr>
                <w:rFonts w:ascii="Calibri" w:cs="Calibri" w:eastAsia="Calibri" w:hAnsi="Calibri"/>
                <w:sz w:val="19"/>
                <w:szCs w:val="19"/>
                <w:color w:val="auto"/>
              </w:rPr>
              <w:t>(0.7)</w:t>
            </w:r>
          </w:p>
        </w:tc>
        <w:tc>
          <w:tcPr>
            <w:tcW w:w="1120" w:type="dxa"/>
            <w:vAlign w:val="bottom"/>
            <w:tcBorders>
              <w:right w:val="single" w:sz="8" w:color="auto"/>
            </w:tcBorders>
            <w:vMerge w:val="restart"/>
          </w:tcPr>
          <w:p>
            <w:pPr>
              <w:jc w:val="center"/>
              <w:spacing w:after="0" w:line="223" w:lineRule="exact"/>
              <w:rPr>
                <w:sz w:val="20"/>
                <w:szCs w:val="20"/>
                <w:color w:val="auto"/>
              </w:rPr>
            </w:pPr>
            <w:r>
              <w:rPr>
                <w:rFonts w:ascii="Calibri" w:cs="Calibri" w:eastAsia="Calibri" w:hAnsi="Calibri"/>
                <w:sz w:val="19"/>
                <w:szCs w:val="19"/>
                <w:color w:val="auto"/>
              </w:rPr>
              <w:t>(0.7)</w:t>
            </w:r>
          </w:p>
        </w:tc>
        <w:tc>
          <w:tcPr>
            <w:tcW w:w="1140" w:type="dxa"/>
            <w:vAlign w:val="bottom"/>
            <w:tcBorders>
              <w:right w:val="single" w:sz="8" w:color="auto"/>
            </w:tcBorders>
            <w:vMerge w:val="restart"/>
          </w:tcPr>
          <w:p>
            <w:pPr>
              <w:jc w:val="center"/>
              <w:spacing w:after="0" w:line="223" w:lineRule="exact"/>
              <w:rPr>
                <w:sz w:val="20"/>
                <w:szCs w:val="20"/>
                <w:color w:val="auto"/>
              </w:rPr>
            </w:pPr>
            <w:r>
              <w:rPr>
                <w:rFonts w:ascii="Calibri" w:cs="Calibri" w:eastAsia="Calibri" w:hAnsi="Calibri"/>
                <w:sz w:val="19"/>
                <w:szCs w:val="19"/>
                <w:color w:val="auto"/>
              </w:rPr>
              <w:t>(0.7)</w:t>
            </w:r>
          </w:p>
        </w:tc>
        <w:tc>
          <w:tcPr>
            <w:tcW w:w="1320" w:type="dxa"/>
            <w:vAlign w:val="bottom"/>
            <w:tcBorders>
              <w:right w:val="single" w:sz="8" w:color="auto"/>
            </w:tcBorders>
            <w:vMerge w:val="restart"/>
          </w:tcPr>
          <w:p>
            <w:pPr>
              <w:jc w:val="center"/>
              <w:spacing w:after="0" w:line="223" w:lineRule="exact"/>
              <w:rPr>
                <w:sz w:val="20"/>
                <w:szCs w:val="20"/>
                <w:color w:val="auto"/>
              </w:rPr>
            </w:pPr>
            <w:r>
              <w:rPr>
                <w:rFonts w:ascii="Calibri" w:cs="Calibri" w:eastAsia="Calibri" w:hAnsi="Calibri"/>
                <w:sz w:val="19"/>
                <w:szCs w:val="19"/>
                <w:color w:val="auto"/>
              </w:rPr>
              <w:t>(0.7)</w:t>
            </w:r>
          </w:p>
        </w:tc>
        <w:tc>
          <w:tcPr>
            <w:tcW w:w="0" w:type="dxa"/>
            <w:vAlign w:val="bottom"/>
          </w:tcPr>
          <w:p>
            <w:pPr>
              <w:spacing w:after="0"/>
              <w:rPr>
                <w:sz w:val="1"/>
                <w:szCs w:val="1"/>
                <w:color w:val="auto"/>
              </w:rPr>
            </w:pPr>
          </w:p>
        </w:tc>
      </w:tr>
      <w:tr>
        <w:trPr>
          <w:trHeight w:val="126"/>
        </w:trPr>
        <w:tc>
          <w:tcPr>
            <w:tcW w:w="2400" w:type="dxa"/>
            <w:vAlign w:val="bottom"/>
            <w:tcBorders>
              <w:left w:val="single" w:sz="8" w:color="auto"/>
              <w:bottom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1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00"/>
        <w:spacing w:after="0"/>
        <w:rPr>
          <w:sz w:val="20"/>
          <w:szCs w:val="20"/>
          <w:color w:val="auto"/>
        </w:rPr>
      </w:pPr>
      <w:r>
        <w:rPr>
          <w:rFonts w:ascii="Calibri" w:cs="Calibri" w:eastAsia="Calibri" w:hAnsi="Calibri"/>
          <w:sz w:val="19"/>
          <w:szCs w:val="19"/>
          <w:i w:val="1"/>
          <w:iCs w:val="1"/>
          <w:color w:val="auto"/>
        </w:rPr>
        <w:t>LSM, least square mean; *p &lt; .05, **p&lt;.001 compared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336550</wp:posOffset>
            </wp:positionV>
            <wp:extent cx="5464175"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6417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1042035</wp:posOffset>
            </wp:positionH>
            <wp:positionV relativeFrom="page">
              <wp:posOffset>414020</wp:posOffset>
            </wp:positionV>
            <wp:extent cx="1203325" cy="8616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03325" cy="86169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200"/>
        <w:spacing w:after="0"/>
        <w:rPr>
          <w:sz w:val="20"/>
          <w:szCs w:val="20"/>
          <w:color w:val="auto"/>
        </w:rPr>
      </w:pPr>
      <w:r>
        <w:rPr>
          <w:rFonts w:ascii="Calibri" w:cs="Calibri" w:eastAsia="Calibri" w:hAnsi="Calibri"/>
          <w:sz w:val="19"/>
          <w:szCs w:val="19"/>
          <w:b w:val="1"/>
          <w:bCs w:val="1"/>
          <w:color w:val="auto"/>
        </w:rPr>
        <w:t>Summary of Safety Findings</w:t>
      </w:r>
    </w:p>
    <w:p>
      <w:pPr>
        <w:spacing w:after="0" w:line="152" w:lineRule="exact"/>
        <w:rPr>
          <w:sz w:val="20"/>
          <w:szCs w:val="20"/>
          <w:color w:val="auto"/>
        </w:rPr>
      </w:pPr>
    </w:p>
    <w:tbl>
      <w:tblPr>
        <w:tblLayout w:type="fixed"/>
        <w:tblInd w:w="210" w:type="dxa"/>
        <w:tblCellMar>
          <w:top w:w="0" w:type="dxa"/>
          <w:left w:w="0" w:type="dxa"/>
          <w:bottom w:w="0" w:type="dxa"/>
          <w:right w:w="0" w:type="dxa"/>
        </w:tblCellMar>
      </w:tblPr>
      <w:tr>
        <w:trPr>
          <w:trHeight w:val="230"/>
        </w:trPr>
        <w:tc>
          <w:tcPr>
            <w:tcW w:w="2460" w:type="dxa"/>
            <w:vAlign w:val="bottom"/>
            <w:tcBorders>
              <w:top w:val="single" w:sz="8" w:color="auto"/>
              <w:left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spacing w:after="0"/>
              <w:rPr>
                <w:sz w:val="20"/>
                <w:szCs w:val="20"/>
                <w:color w:val="auto"/>
              </w:rPr>
            </w:pPr>
          </w:p>
        </w:tc>
        <w:tc>
          <w:tcPr>
            <w:tcW w:w="2500" w:type="dxa"/>
            <w:vAlign w:val="bottom"/>
            <w:tcBorders>
              <w:top w:val="single" w:sz="8" w:color="auto"/>
              <w:bottom w:val="single" w:sz="8" w:color="auto"/>
            </w:tcBorders>
            <w:gridSpan w:val="2"/>
          </w:tcPr>
          <w:p>
            <w:pPr>
              <w:ind w:left="820"/>
              <w:spacing w:after="0" w:line="231" w:lineRule="exact"/>
              <w:rPr>
                <w:sz w:val="20"/>
                <w:szCs w:val="20"/>
                <w:color w:val="auto"/>
              </w:rPr>
            </w:pPr>
            <w:r>
              <w:rPr>
                <w:rFonts w:ascii="Calibri" w:cs="Calibri" w:eastAsia="Calibri" w:hAnsi="Calibri"/>
                <w:sz w:val="19"/>
                <w:szCs w:val="19"/>
                <w:b w:val="1"/>
                <w:bCs w:val="1"/>
                <w:color w:val="auto"/>
              </w:rPr>
              <w:t>Treatment</w:t>
            </w:r>
          </w:p>
        </w:tc>
        <w:tc>
          <w:tcPr>
            <w:tcW w:w="126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460" w:type="dxa"/>
            <w:vAlign w:val="bottom"/>
            <w:tcBorders>
              <w:left w:val="single" w:sz="8" w:color="auto"/>
            </w:tcBorders>
          </w:tcPr>
          <w:p>
            <w:pPr>
              <w:ind w:left="1240"/>
              <w:spacing w:after="0" w:line="187" w:lineRule="exact"/>
              <w:rPr>
                <w:sz w:val="20"/>
                <w:szCs w:val="20"/>
                <w:color w:val="auto"/>
              </w:rPr>
            </w:pPr>
            <w:r>
              <w:rPr>
                <w:rFonts w:ascii="Calibri" w:cs="Calibri" w:eastAsia="Calibri" w:hAnsi="Calibri"/>
                <w:sz w:val="19"/>
                <w:szCs w:val="19"/>
                <w:b w:val="1"/>
                <w:bCs w:val="1"/>
                <w:color w:val="auto"/>
              </w:rPr>
              <w:t>Characteristc</w:t>
            </w:r>
          </w:p>
        </w:tc>
        <w:tc>
          <w:tcPr>
            <w:tcW w:w="11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300"/>
              <w:spacing w:after="0" w:line="187" w:lineRule="exact"/>
              <w:rPr>
                <w:sz w:val="20"/>
                <w:szCs w:val="20"/>
                <w:color w:val="auto"/>
              </w:rPr>
            </w:pPr>
            <w:r>
              <w:rPr>
                <w:rFonts w:ascii="Calibri" w:cs="Calibri" w:eastAsia="Calibri" w:hAnsi="Calibri"/>
                <w:sz w:val="19"/>
                <w:szCs w:val="19"/>
                <w:b w:val="1"/>
                <w:bCs w:val="1"/>
                <w:color w:val="auto"/>
              </w:rPr>
              <w:t>Placebo</w:t>
            </w:r>
          </w:p>
        </w:tc>
        <w:tc>
          <w:tcPr>
            <w:tcW w:w="1240" w:type="dxa"/>
            <w:vAlign w:val="bottom"/>
            <w:tcBorders>
              <w:right w:val="single" w:sz="8" w:color="auto"/>
            </w:tcBorders>
          </w:tcPr>
          <w:p>
            <w:pPr>
              <w:ind w:left="340"/>
              <w:spacing w:after="0" w:line="187" w:lineRule="exact"/>
              <w:rPr>
                <w:sz w:val="20"/>
                <w:szCs w:val="20"/>
                <w:color w:val="auto"/>
              </w:rPr>
            </w:pPr>
            <w:r>
              <w:rPr>
                <w:rFonts w:ascii="Calibri" w:cs="Calibri" w:eastAsia="Calibri" w:hAnsi="Calibri"/>
                <w:sz w:val="19"/>
                <w:szCs w:val="19"/>
                <w:b w:val="1"/>
                <w:bCs w:val="1"/>
                <w:color w:val="auto"/>
              </w:rPr>
              <w:t>1.2 mg</w:t>
            </w:r>
          </w:p>
        </w:tc>
        <w:tc>
          <w:tcPr>
            <w:tcW w:w="1260" w:type="dxa"/>
            <w:vAlign w:val="bottom"/>
            <w:tcBorders>
              <w:right w:val="single" w:sz="8" w:color="auto"/>
            </w:tcBorders>
          </w:tcPr>
          <w:p>
            <w:pPr>
              <w:ind w:left="360"/>
              <w:spacing w:after="0" w:line="187" w:lineRule="exact"/>
              <w:rPr>
                <w:sz w:val="20"/>
                <w:szCs w:val="20"/>
                <w:color w:val="auto"/>
              </w:rPr>
            </w:pPr>
            <w:r>
              <w:rPr>
                <w:rFonts w:ascii="Calibri" w:cs="Calibri" w:eastAsia="Calibri" w:hAnsi="Calibri"/>
                <w:sz w:val="19"/>
                <w:szCs w:val="19"/>
                <w:b w:val="1"/>
                <w:bCs w:val="1"/>
                <w:color w:val="auto"/>
              </w:rPr>
              <w:t>1.8 mg</w:t>
            </w:r>
          </w:p>
        </w:tc>
        <w:tc>
          <w:tcPr>
            <w:tcW w:w="1260" w:type="dxa"/>
            <w:vAlign w:val="bottom"/>
            <w:tcBorders>
              <w:right w:val="single" w:sz="8" w:color="auto"/>
            </w:tcBorders>
          </w:tcPr>
          <w:p>
            <w:pPr>
              <w:ind w:left="360"/>
              <w:spacing w:after="0" w:line="187" w:lineRule="exact"/>
              <w:rPr>
                <w:sz w:val="20"/>
                <w:szCs w:val="20"/>
                <w:color w:val="auto"/>
              </w:rPr>
            </w:pPr>
            <w:r>
              <w:rPr>
                <w:rFonts w:ascii="Calibri" w:cs="Calibri" w:eastAsia="Calibri" w:hAnsi="Calibri"/>
                <w:sz w:val="19"/>
                <w:szCs w:val="19"/>
                <w:b w:val="1"/>
                <w:bCs w:val="1"/>
                <w:color w:val="auto"/>
              </w:rPr>
              <w:t>2.4 mg</w:t>
            </w:r>
          </w:p>
        </w:tc>
        <w:tc>
          <w:tcPr>
            <w:tcW w:w="0" w:type="dxa"/>
            <w:vAlign w:val="bottom"/>
          </w:tcPr>
          <w:p>
            <w:pPr>
              <w:spacing w:after="0"/>
              <w:rPr>
                <w:sz w:val="1"/>
                <w:szCs w:val="1"/>
                <w:color w:val="auto"/>
              </w:rPr>
            </w:pPr>
          </w:p>
        </w:tc>
      </w:tr>
      <w:tr>
        <w:trPr>
          <w:trHeight w:val="223"/>
        </w:trPr>
        <w:tc>
          <w:tcPr>
            <w:tcW w:w="2460" w:type="dxa"/>
            <w:vAlign w:val="bottom"/>
            <w:tcBorders>
              <w:lef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320"/>
              <w:spacing w:after="0" w:line="223" w:lineRule="exact"/>
              <w:rPr>
                <w:sz w:val="20"/>
                <w:szCs w:val="20"/>
                <w:color w:val="auto"/>
              </w:rPr>
            </w:pPr>
            <w:r>
              <w:rPr>
                <w:rFonts w:ascii="Calibri" w:cs="Calibri" w:eastAsia="Calibri" w:hAnsi="Calibri"/>
                <w:sz w:val="19"/>
                <w:szCs w:val="19"/>
                <w:b w:val="1"/>
                <w:bCs w:val="1"/>
                <w:color w:val="auto"/>
              </w:rPr>
              <w:t>(n = 24)</w:t>
            </w:r>
          </w:p>
        </w:tc>
        <w:tc>
          <w:tcPr>
            <w:tcW w:w="1240" w:type="dxa"/>
            <w:vAlign w:val="bottom"/>
            <w:tcBorders>
              <w:right w:val="single" w:sz="8" w:color="auto"/>
            </w:tcBorders>
          </w:tcPr>
          <w:p>
            <w:pPr>
              <w:jc w:val="center"/>
              <w:spacing w:after="0" w:line="223" w:lineRule="exact"/>
              <w:rPr>
                <w:sz w:val="20"/>
                <w:szCs w:val="20"/>
                <w:color w:val="auto"/>
              </w:rPr>
            </w:pPr>
            <w:r>
              <w:rPr>
                <w:rFonts w:ascii="Calibri" w:cs="Calibri" w:eastAsia="Calibri" w:hAnsi="Calibri"/>
                <w:sz w:val="19"/>
                <w:szCs w:val="19"/>
                <w:b w:val="1"/>
                <w:bCs w:val="1"/>
                <w:color w:val="auto"/>
                <w:w w:val="98"/>
              </w:rPr>
              <w:t>(n=23)</w:t>
            </w:r>
          </w:p>
        </w:tc>
        <w:tc>
          <w:tcPr>
            <w:tcW w:w="1260" w:type="dxa"/>
            <w:vAlign w:val="bottom"/>
            <w:tcBorders>
              <w:right w:val="single" w:sz="8" w:color="auto"/>
            </w:tcBorders>
          </w:tcPr>
          <w:p>
            <w:pPr>
              <w:jc w:val="center"/>
              <w:spacing w:after="0" w:line="223" w:lineRule="exact"/>
              <w:rPr>
                <w:sz w:val="20"/>
                <w:szCs w:val="20"/>
                <w:color w:val="auto"/>
              </w:rPr>
            </w:pPr>
            <w:r>
              <w:rPr>
                <w:rFonts w:ascii="Calibri" w:cs="Calibri" w:eastAsia="Calibri" w:hAnsi="Calibri"/>
                <w:sz w:val="19"/>
                <w:szCs w:val="19"/>
                <w:b w:val="1"/>
                <w:bCs w:val="1"/>
                <w:color w:val="auto"/>
              </w:rPr>
              <w:t>(n=23)</w:t>
            </w:r>
          </w:p>
        </w:tc>
        <w:tc>
          <w:tcPr>
            <w:tcW w:w="1260" w:type="dxa"/>
            <w:vAlign w:val="bottom"/>
            <w:tcBorders>
              <w:right w:val="single" w:sz="8" w:color="auto"/>
            </w:tcBorders>
          </w:tcPr>
          <w:p>
            <w:pPr>
              <w:jc w:val="center"/>
              <w:spacing w:after="0" w:line="223" w:lineRule="exact"/>
              <w:rPr>
                <w:sz w:val="20"/>
                <w:szCs w:val="20"/>
                <w:color w:val="auto"/>
              </w:rPr>
            </w:pPr>
            <w:r>
              <w:rPr>
                <w:rFonts w:ascii="Calibri" w:cs="Calibri" w:eastAsia="Calibri" w:hAnsi="Calibri"/>
                <w:sz w:val="19"/>
                <w:szCs w:val="19"/>
                <w:b w:val="1"/>
                <w:bCs w:val="1"/>
                <w:color w:val="auto"/>
              </w:rPr>
              <w:t>(n=24)</w:t>
            </w:r>
          </w:p>
        </w:tc>
        <w:tc>
          <w:tcPr>
            <w:tcW w:w="0" w:type="dxa"/>
            <w:vAlign w:val="bottom"/>
          </w:tcPr>
          <w:p>
            <w:pPr>
              <w:spacing w:after="0"/>
              <w:rPr>
                <w:sz w:val="1"/>
                <w:szCs w:val="1"/>
                <w:color w:val="auto"/>
              </w:rPr>
            </w:pPr>
          </w:p>
        </w:tc>
      </w:tr>
      <w:tr>
        <w:trPr>
          <w:trHeight w:val="31"/>
        </w:trPr>
        <w:tc>
          <w:tcPr>
            <w:tcW w:w="246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60" w:type="dxa"/>
            <w:vAlign w:val="bottom"/>
            <w:tcBorders>
              <w:left w:val="single" w:sz="8" w:color="auto"/>
            </w:tcBorders>
          </w:tcPr>
          <w:p>
            <w:pPr>
              <w:ind w:left="240"/>
              <w:spacing w:after="0"/>
              <w:rPr>
                <w:sz w:val="20"/>
                <w:szCs w:val="20"/>
                <w:color w:val="auto"/>
              </w:rPr>
            </w:pPr>
            <w:r>
              <w:rPr>
                <w:rFonts w:ascii="Calibri" w:cs="Calibri" w:eastAsia="Calibri" w:hAnsi="Calibri"/>
                <w:sz w:val="19"/>
                <w:szCs w:val="19"/>
                <w:b w:val="1"/>
                <w:bCs w:val="1"/>
                <w:color w:val="auto"/>
              </w:rPr>
              <w:t>Severe AEs</w:t>
            </w:r>
          </w:p>
        </w:tc>
        <w:tc>
          <w:tcPr>
            <w:tcW w:w="1100" w:type="dxa"/>
            <w:vAlign w:val="bottom"/>
            <w:tcBorders>
              <w:right w:val="single" w:sz="8" w:color="auto"/>
            </w:tcBorders>
          </w:tcPr>
          <w:p>
            <w:pPr>
              <w:ind w:left="100"/>
              <w:spacing w:after="0"/>
              <w:rPr>
                <w:sz w:val="20"/>
                <w:szCs w:val="20"/>
                <w:color w:val="auto"/>
              </w:rPr>
            </w:pPr>
            <w:r>
              <w:rPr>
                <w:rFonts w:ascii="Calibri" w:cs="Calibri" w:eastAsia="Calibri" w:hAnsi="Calibri"/>
                <w:sz w:val="19"/>
                <w:szCs w:val="19"/>
                <w:color w:val="auto"/>
              </w:rPr>
              <w:t>n (%)</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rPr>
              <w:t>0 (0.0%)</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rPr>
              <w:t>0 (0.0%)</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rPr>
              <w:t>0 (0.0%)</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rPr>
              <w:t>0 (0.0%)</w:t>
            </w:r>
          </w:p>
        </w:tc>
        <w:tc>
          <w:tcPr>
            <w:tcW w:w="0" w:type="dxa"/>
            <w:vAlign w:val="bottom"/>
          </w:tcPr>
          <w:p>
            <w:pPr>
              <w:spacing w:after="0"/>
              <w:rPr>
                <w:sz w:val="1"/>
                <w:szCs w:val="1"/>
                <w:color w:val="auto"/>
              </w:rPr>
            </w:pPr>
          </w:p>
        </w:tc>
      </w:tr>
      <w:tr>
        <w:trPr>
          <w:trHeight w:val="82"/>
        </w:trPr>
        <w:tc>
          <w:tcPr>
            <w:tcW w:w="2460" w:type="dxa"/>
            <w:vAlign w:val="bottom"/>
            <w:tcBorders>
              <w:left w:val="single" w:sz="8" w:color="auto"/>
              <w:bottom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460" w:type="dxa"/>
            <w:vAlign w:val="bottom"/>
            <w:tcBorders>
              <w:left w:val="single" w:sz="8" w:color="auto"/>
            </w:tcBorders>
          </w:tcPr>
          <w:p>
            <w:pPr>
              <w:ind w:left="240"/>
              <w:spacing w:after="0"/>
              <w:rPr>
                <w:sz w:val="20"/>
                <w:szCs w:val="20"/>
                <w:color w:val="auto"/>
              </w:rPr>
            </w:pPr>
            <w:r>
              <w:rPr>
                <w:rFonts w:ascii="Calibri" w:cs="Calibri" w:eastAsia="Calibri" w:hAnsi="Calibri"/>
                <w:sz w:val="19"/>
                <w:szCs w:val="19"/>
                <w:b w:val="1"/>
                <w:bCs w:val="1"/>
                <w:color w:val="auto"/>
              </w:rPr>
              <w:t>SAEs</w:t>
            </w:r>
          </w:p>
        </w:tc>
        <w:tc>
          <w:tcPr>
            <w:tcW w:w="1100" w:type="dxa"/>
            <w:vAlign w:val="bottom"/>
            <w:tcBorders>
              <w:right w:val="single" w:sz="8" w:color="auto"/>
            </w:tcBorders>
          </w:tcPr>
          <w:p>
            <w:pPr>
              <w:ind w:left="100"/>
              <w:spacing w:after="0"/>
              <w:rPr>
                <w:sz w:val="20"/>
                <w:szCs w:val="20"/>
                <w:color w:val="auto"/>
              </w:rPr>
            </w:pPr>
            <w:r>
              <w:rPr>
                <w:rFonts w:ascii="Calibri" w:cs="Calibri" w:eastAsia="Calibri" w:hAnsi="Calibri"/>
                <w:sz w:val="19"/>
                <w:szCs w:val="19"/>
                <w:color w:val="auto"/>
              </w:rPr>
              <w:t>n (%)</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rPr>
              <w:t>0 (0.0%)</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rPr>
              <w:t>0 (0.0%)</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rPr>
              <w:t>0 (0.0%)</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rPr>
              <w:t>0 (0.0%)</w:t>
            </w:r>
          </w:p>
        </w:tc>
        <w:tc>
          <w:tcPr>
            <w:tcW w:w="0" w:type="dxa"/>
            <w:vAlign w:val="bottom"/>
          </w:tcPr>
          <w:p>
            <w:pPr>
              <w:spacing w:after="0"/>
              <w:rPr>
                <w:sz w:val="1"/>
                <w:szCs w:val="1"/>
                <w:color w:val="auto"/>
              </w:rPr>
            </w:pPr>
          </w:p>
        </w:tc>
      </w:tr>
      <w:tr>
        <w:trPr>
          <w:trHeight w:val="82"/>
        </w:trPr>
        <w:tc>
          <w:tcPr>
            <w:tcW w:w="2460" w:type="dxa"/>
            <w:vAlign w:val="bottom"/>
            <w:tcBorders>
              <w:left w:val="single" w:sz="8" w:color="auto"/>
              <w:bottom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460" w:type="dxa"/>
            <w:vAlign w:val="bottom"/>
            <w:tcBorders>
              <w:left w:val="single" w:sz="8" w:color="auto"/>
            </w:tcBorders>
          </w:tcPr>
          <w:p>
            <w:pPr>
              <w:ind w:left="240"/>
              <w:spacing w:after="0" w:line="187" w:lineRule="exact"/>
              <w:rPr>
                <w:sz w:val="20"/>
                <w:szCs w:val="20"/>
                <w:color w:val="auto"/>
              </w:rPr>
            </w:pPr>
            <w:r>
              <w:rPr>
                <w:rFonts w:ascii="Calibri" w:cs="Calibri" w:eastAsia="Calibri" w:hAnsi="Calibri"/>
                <w:sz w:val="19"/>
                <w:szCs w:val="19"/>
                <w:b w:val="1"/>
                <w:bCs w:val="1"/>
                <w:color w:val="auto"/>
              </w:rPr>
              <w:t>AEs leading to treatment</w:t>
            </w:r>
          </w:p>
        </w:tc>
        <w:tc>
          <w:tcPr>
            <w:tcW w:w="1100" w:type="dxa"/>
            <w:vAlign w:val="bottom"/>
            <w:tcBorders>
              <w:right w:val="single" w:sz="8" w:color="auto"/>
            </w:tcBorders>
            <w:vMerge w:val="restart"/>
          </w:tcPr>
          <w:p>
            <w:pPr>
              <w:ind w:left="100"/>
              <w:spacing w:after="0"/>
              <w:rPr>
                <w:sz w:val="20"/>
                <w:szCs w:val="20"/>
                <w:color w:val="auto"/>
              </w:rPr>
            </w:pPr>
            <w:r>
              <w:rPr>
                <w:rFonts w:ascii="Calibri" w:cs="Calibri" w:eastAsia="Calibri" w:hAnsi="Calibri"/>
                <w:sz w:val="19"/>
                <w:szCs w:val="19"/>
                <w:color w:val="auto"/>
              </w:rPr>
              <w:t>n (%)</w:t>
            </w:r>
          </w:p>
        </w:tc>
        <w:tc>
          <w:tcPr>
            <w:tcW w:w="12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9"/>
                <w:szCs w:val="19"/>
                <w:color w:val="auto"/>
              </w:rPr>
              <w:t>0 (0.0%)</w:t>
            </w:r>
          </w:p>
        </w:tc>
        <w:tc>
          <w:tcPr>
            <w:tcW w:w="12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9"/>
                <w:szCs w:val="19"/>
                <w:color w:val="auto"/>
              </w:rPr>
              <w:t>0 (0.0%)</w:t>
            </w:r>
          </w:p>
        </w:tc>
        <w:tc>
          <w:tcPr>
            <w:tcW w:w="12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9"/>
                <w:szCs w:val="19"/>
                <w:color w:val="auto"/>
              </w:rPr>
              <w:t>1 (4.3%)</w:t>
            </w:r>
          </w:p>
        </w:tc>
        <w:tc>
          <w:tcPr>
            <w:tcW w:w="12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9"/>
                <w:szCs w:val="19"/>
                <w:color w:val="auto"/>
              </w:rPr>
              <w:t>1 (4.2%)</w:t>
            </w:r>
          </w:p>
        </w:tc>
        <w:tc>
          <w:tcPr>
            <w:tcW w:w="0" w:type="dxa"/>
            <w:vAlign w:val="bottom"/>
          </w:tcPr>
          <w:p>
            <w:pPr>
              <w:spacing w:after="0"/>
              <w:rPr>
                <w:sz w:val="1"/>
                <w:szCs w:val="1"/>
                <w:color w:val="auto"/>
              </w:rPr>
            </w:pPr>
          </w:p>
        </w:tc>
      </w:tr>
      <w:tr>
        <w:trPr>
          <w:trHeight w:val="120"/>
        </w:trPr>
        <w:tc>
          <w:tcPr>
            <w:tcW w:w="2460" w:type="dxa"/>
            <w:vAlign w:val="bottom"/>
            <w:tcBorders>
              <w:left w:val="single" w:sz="8" w:color="auto"/>
            </w:tcBorders>
            <w:vMerge w:val="restart"/>
          </w:tcPr>
          <w:p>
            <w:pPr>
              <w:ind w:left="240"/>
              <w:spacing w:after="0" w:line="223" w:lineRule="exact"/>
              <w:rPr>
                <w:sz w:val="20"/>
                <w:szCs w:val="20"/>
                <w:color w:val="auto"/>
              </w:rPr>
            </w:pPr>
            <w:r>
              <w:rPr>
                <w:rFonts w:ascii="Calibri" w:cs="Calibri" w:eastAsia="Calibri" w:hAnsi="Calibri"/>
                <w:sz w:val="19"/>
                <w:szCs w:val="19"/>
                <w:b w:val="1"/>
                <w:bCs w:val="1"/>
                <w:color w:val="auto"/>
              </w:rPr>
              <w:t>discontnuaton</w:t>
            </w:r>
          </w:p>
        </w:tc>
        <w:tc>
          <w:tcPr>
            <w:tcW w:w="11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460" w:type="dxa"/>
            <w:vAlign w:val="bottom"/>
            <w:tcBorders>
              <w:left w:val="single" w:sz="8" w:color="auto"/>
            </w:tcBorders>
            <w:vMerge w:val="continue"/>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246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60" w:type="dxa"/>
            <w:vAlign w:val="bottom"/>
            <w:tcBorders>
              <w:left w:val="single" w:sz="8" w:color="auto"/>
            </w:tcBorders>
            <w:vMerge w:val="restart"/>
          </w:tcPr>
          <w:p>
            <w:pPr>
              <w:ind w:left="240"/>
              <w:spacing w:after="0"/>
              <w:rPr>
                <w:sz w:val="20"/>
                <w:szCs w:val="20"/>
                <w:color w:val="auto"/>
              </w:rPr>
            </w:pPr>
            <w:r>
              <w:rPr>
                <w:rFonts w:ascii="Calibri" w:cs="Calibri" w:eastAsia="Calibri" w:hAnsi="Calibri"/>
                <w:sz w:val="19"/>
                <w:szCs w:val="19"/>
                <w:b w:val="1"/>
                <w:bCs w:val="1"/>
                <w:color w:val="auto"/>
              </w:rPr>
              <w:t>Nausea</w:t>
            </w:r>
          </w:p>
        </w:tc>
        <w:tc>
          <w:tcPr>
            <w:tcW w:w="1100" w:type="dxa"/>
            <w:vAlign w:val="bottom"/>
            <w:tcBorders>
              <w:right w:val="single" w:sz="8" w:color="auto"/>
            </w:tcBorders>
          </w:tcPr>
          <w:p>
            <w:pPr>
              <w:ind w:left="100"/>
              <w:spacing w:after="0"/>
              <w:rPr>
                <w:sz w:val="20"/>
                <w:szCs w:val="20"/>
                <w:color w:val="auto"/>
              </w:rPr>
            </w:pPr>
            <w:r>
              <w:rPr>
                <w:rFonts w:ascii="Calibri" w:cs="Calibri" w:eastAsia="Calibri" w:hAnsi="Calibri"/>
                <w:sz w:val="19"/>
                <w:szCs w:val="19"/>
                <w:color w:val="auto"/>
              </w:rPr>
              <w:t>mild, n (%)</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w w:val="98"/>
              </w:rPr>
              <w:t>3 (12.5%)</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rPr>
              <w:t>3 (13.0%)</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w w:val="98"/>
              </w:rPr>
              <w:t>6 (26.1%)</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rPr>
              <w:t>6 (25.0%)</w:t>
            </w:r>
          </w:p>
        </w:tc>
        <w:tc>
          <w:tcPr>
            <w:tcW w:w="0" w:type="dxa"/>
            <w:vAlign w:val="bottom"/>
          </w:tcPr>
          <w:p>
            <w:pPr>
              <w:spacing w:after="0"/>
              <w:rPr>
                <w:sz w:val="1"/>
                <w:szCs w:val="1"/>
                <w:color w:val="auto"/>
              </w:rPr>
            </w:pPr>
          </w:p>
        </w:tc>
      </w:tr>
      <w:tr>
        <w:trPr>
          <w:trHeight w:val="82"/>
        </w:trPr>
        <w:tc>
          <w:tcPr>
            <w:tcW w:w="2460" w:type="dxa"/>
            <w:vAlign w:val="bottom"/>
            <w:tcBorders>
              <w:left w:val="single" w:sz="8" w:color="auto"/>
            </w:tcBorders>
            <w:vMerge w:val="continue"/>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460" w:type="dxa"/>
            <w:vAlign w:val="bottom"/>
            <w:tcBorders>
              <w:left w:val="single" w:sz="8" w:color="auto"/>
            </w:tcBorders>
            <w:vMerge w:val="continue"/>
          </w:tcPr>
          <w:p>
            <w:pPr>
              <w:spacing w:after="0"/>
              <w:rPr>
                <w:sz w:val="6"/>
                <w:szCs w:val="6"/>
                <w:color w:val="auto"/>
              </w:rPr>
            </w:pPr>
          </w:p>
        </w:tc>
        <w:tc>
          <w:tcPr>
            <w:tcW w:w="1100" w:type="dxa"/>
            <w:vAlign w:val="bottom"/>
            <w:tcBorders>
              <w:right w:val="single" w:sz="8" w:color="auto"/>
            </w:tcBorders>
            <w:vMerge w:val="restart"/>
          </w:tcPr>
          <w:p>
            <w:pPr>
              <w:ind w:left="100"/>
              <w:spacing w:after="0"/>
              <w:rPr>
                <w:sz w:val="20"/>
                <w:szCs w:val="20"/>
                <w:color w:val="auto"/>
              </w:rPr>
            </w:pPr>
            <w:r>
              <w:rPr>
                <w:rFonts w:ascii="Calibri" w:cs="Calibri" w:eastAsia="Calibri" w:hAnsi="Calibri"/>
                <w:sz w:val="19"/>
                <w:szCs w:val="19"/>
                <w:color w:val="auto"/>
              </w:rPr>
              <w:t>mod, n (%)</w:t>
            </w:r>
          </w:p>
        </w:tc>
        <w:tc>
          <w:tcPr>
            <w:tcW w:w="12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9"/>
                <w:szCs w:val="19"/>
                <w:color w:val="auto"/>
              </w:rPr>
              <w:t>0 (0.0%)</w:t>
            </w:r>
          </w:p>
        </w:tc>
        <w:tc>
          <w:tcPr>
            <w:tcW w:w="12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9"/>
                <w:szCs w:val="19"/>
                <w:color w:val="auto"/>
              </w:rPr>
              <w:t>1 (4.3%)</w:t>
            </w:r>
          </w:p>
        </w:tc>
        <w:tc>
          <w:tcPr>
            <w:tcW w:w="12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9"/>
                <w:szCs w:val="19"/>
                <w:color w:val="auto"/>
                <w:w w:val="98"/>
              </w:rPr>
              <w:t>6 (26.1%)</w:t>
            </w:r>
          </w:p>
        </w:tc>
        <w:tc>
          <w:tcPr>
            <w:tcW w:w="12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9"/>
                <w:szCs w:val="19"/>
                <w:color w:val="auto"/>
              </w:rPr>
              <w:t>3 (12.5%)</w:t>
            </w:r>
          </w:p>
        </w:tc>
        <w:tc>
          <w:tcPr>
            <w:tcW w:w="0" w:type="dxa"/>
            <w:vAlign w:val="bottom"/>
          </w:tcPr>
          <w:p>
            <w:pPr>
              <w:spacing w:after="0"/>
              <w:rPr>
                <w:sz w:val="1"/>
                <w:szCs w:val="1"/>
                <w:color w:val="auto"/>
              </w:rPr>
            </w:pPr>
          </w:p>
        </w:tc>
      </w:tr>
      <w:tr>
        <w:trPr>
          <w:trHeight w:val="166"/>
        </w:trPr>
        <w:tc>
          <w:tcPr>
            <w:tcW w:w="2460" w:type="dxa"/>
            <w:vAlign w:val="bottom"/>
            <w:tcBorders>
              <w:left w:val="single" w:sz="8" w:color="auto"/>
            </w:tcBorders>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24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460" w:type="dxa"/>
            <w:vAlign w:val="bottom"/>
            <w:tcBorders>
              <w:left w:val="single" w:sz="8" w:color="auto"/>
              <w:bottom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460" w:type="dxa"/>
            <w:vAlign w:val="bottom"/>
            <w:tcBorders>
              <w:left w:val="single" w:sz="8" w:color="auto"/>
            </w:tcBorders>
            <w:vMerge w:val="restart"/>
          </w:tcPr>
          <w:p>
            <w:pPr>
              <w:ind w:left="240"/>
              <w:spacing w:after="0"/>
              <w:rPr>
                <w:sz w:val="20"/>
                <w:szCs w:val="20"/>
                <w:color w:val="auto"/>
              </w:rPr>
            </w:pPr>
            <w:r>
              <w:rPr>
                <w:rFonts w:ascii="Calibri" w:cs="Calibri" w:eastAsia="Calibri" w:hAnsi="Calibri"/>
                <w:sz w:val="19"/>
                <w:szCs w:val="19"/>
                <w:b w:val="1"/>
                <w:bCs w:val="1"/>
                <w:color w:val="auto"/>
              </w:rPr>
              <w:t>Vomitng</w:t>
            </w:r>
          </w:p>
        </w:tc>
        <w:tc>
          <w:tcPr>
            <w:tcW w:w="1100" w:type="dxa"/>
            <w:vAlign w:val="bottom"/>
            <w:tcBorders>
              <w:right w:val="single" w:sz="8" w:color="auto"/>
            </w:tcBorders>
          </w:tcPr>
          <w:p>
            <w:pPr>
              <w:ind w:left="100"/>
              <w:spacing w:after="0"/>
              <w:rPr>
                <w:sz w:val="20"/>
                <w:szCs w:val="20"/>
                <w:color w:val="auto"/>
              </w:rPr>
            </w:pPr>
            <w:r>
              <w:rPr>
                <w:rFonts w:ascii="Calibri" w:cs="Calibri" w:eastAsia="Calibri" w:hAnsi="Calibri"/>
                <w:sz w:val="19"/>
                <w:szCs w:val="19"/>
                <w:color w:val="auto"/>
              </w:rPr>
              <w:t>mild, n (%)</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rPr>
              <w:t>0 (0.0%)</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rPr>
              <w:t>3 (13.0%)</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rPr>
              <w:t>2 (8.7%)</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rPr>
              <w:t>2 (8.3%)</w:t>
            </w:r>
          </w:p>
        </w:tc>
        <w:tc>
          <w:tcPr>
            <w:tcW w:w="0" w:type="dxa"/>
            <w:vAlign w:val="bottom"/>
          </w:tcPr>
          <w:p>
            <w:pPr>
              <w:spacing w:after="0"/>
              <w:rPr>
                <w:sz w:val="1"/>
                <w:szCs w:val="1"/>
                <w:color w:val="auto"/>
              </w:rPr>
            </w:pPr>
          </w:p>
        </w:tc>
      </w:tr>
      <w:tr>
        <w:trPr>
          <w:trHeight w:val="82"/>
        </w:trPr>
        <w:tc>
          <w:tcPr>
            <w:tcW w:w="2460" w:type="dxa"/>
            <w:vAlign w:val="bottom"/>
            <w:tcBorders>
              <w:left w:val="single" w:sz="8" w:color="auto"/>
            </w:tcBorders>
            <w:vMerge w:val="continue"/>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460" w:type="dxa"/>
            <w:vAlign w:val="bottom"/>
            <w:tcBorders>
              <w:left w:val="single" w:sz="8" w:color="auto"/>
            </w:tcBorders>
            <w:vMerge w:val="continue"/>
          </w:tcPr>
          <w:p>
            <w:pPr>
              <w:spacing w:after="0"/>
              <w:rPr>
                <w:sz w:val="6"/>
                <w:szCs w:val="6"/>
                <w:color w:val="auto"/>
              </w:rPr>
            </w:pPr>
          </w:p>
        </w:tc>
        <w:tc>
          <w:tcPr>
            <w:tcW w:w="1100" w:type="dxa"/>
            <w:vAlign w:val="bottom"/>
            <w:tcBorders>
              <w:right w:val="single" w:sz="8" w:color="auto"/>
            </w:tcBorders>
            <w:vMerge w:val="restart"/>
          </w:tcPr>
          <w:p>
            <w:pPr>
              <w:ind w:left="100"/>
              <w:spacing w:after="0"/>
              <w:rPr>
                <w:sz w:val="20"/>
                <w:szCs w:val="20"/>
                <w:color w:val="auto"/>
              </w:rPr>
            </w:pPr>
            <w:r>
              <w:rPr>
                <w:rFonts w:ascii="Calibri" w:cs="Calibri" w:eastAsia="Calibri" w:hAnsi="Calibri"/>
                <w:sz w:val="19"/>
                <w:szCs w:val="19"/>
                <w:color w:val="auto"/>
              </w:rPr>
              <w:t>mod, n (%)</w:t>
            </w:r>
          </w:p>
        </w:tc>
        <w:tc>
          <w:tcPr>
            <w:tcW w:w="12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9"/>
                <w:szCs w:val="19"/>
                <w:color w:val="auto"/>
              </w:rPr>
              <w:t>0 (0.0%)</w:t>
            </w:r>
          </w:p>
        </w:tc>
        <w:tc>
          <w:tcPr>
            <w:tcW w:w="12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9"/>
                <w:szCs w:val="19"/>
                <w:color w:val="auto"/>
              </w:rPr>
              <w:t>0 (0.0%)</w:t>
            </w:r>
          </w:p>
        </w:tc>
        <w:tc>
          <w:tcPr>
            <w:tcW w:w="12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9"/>
                <w:szCs w:val="19"/>
                <w:color w:val="auto"/>
              </w:rPr>
              <w:t>0 (0.0%)</w:t>
            </w:r>
          </w:p>
        </w:tc>
        <w:tc>
          <w:tcPr>
            <w:tcW w:w="12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9"/>
                <w:szCs w:val="19"/>
                <w:color w:val="auto"/>
              </w:rPr>
              <w:t>0 (0.0%)</w:t>
            </w:r>
          </w:p>
        </w:tc>
        <w:tc>
          <w:tcPr>
            <w:tcW w:w="0" w:type="dxa"/>
            <w:vAlign w:val="bottom"/>
          </w:tcPr>
          <w:p>
            <w:pPr>
              <w:spacing w:after="0"/>
              <w:rPr>
                <w:sz w:val="1"/>
                <w:szCs w:val="1"/>
                <w:color w:val="auto"/>
              </w:rPr>
            </w:pPr>
          </w:p>
        </w:tc>
      </w:tr>
      <w:tr>
        <w:trPr>
          <w:trHeight w:val="166"/>
        </w:trPr>
        <w:tc>
          <w:tcPr>
            <w:tcW w:w="2460" w:type="dxa"/>
            <w:vAlign w:val="bottom"/>
            <w:tcBorders>
              <w:left w:val="single" w:sz="8" w:color="auto"/>
            </w:tcBorders>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24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460" w:type="dxa"/>
            <w:vAlign w:val="bottom"/>
            <w:tcBorders>
              <w:left w:val="single" w:sz="8" w:color="auto"/>
              <w:bottom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460" w:type="dxa"/>
            <w:vAlign w:val="bottom"/>
            <w:tcBorders>
              <w:left w:val="single" w:sz="8" w:color="auto"/>
            </w:tcBorders>
            <w:vMerge w:val="restart"/>
          </w:tcPr>
          <w:p>
            <w:pPr>
              <w:ind w:left="240"/>
              <w:spacing w:after="0"/>
              <w:rPr>
                <w:sz w:val="20"/>
                <w:szCs w:val="20"/>
                <w:color w:val="auto"/>
              </w:rPr>
            </w:pPr>
            <w:r>
              <w:rPr>
                <w:rFonts w:ascii="Calibri" w:cs="Calibri" w:eastAsia="Calibri" w:hAnsi="Calibri"/>
                <w:sz w:val="19"/>
                <w:szCs w:val="19"/>
                <w:b w:val="1"/>
                <w:bCs w:val="1"/>
                <w:color w:val="auto"/>
              </w:rPr>
              <w:t>Diarrhea</w:t>
            </w:r>
          </w:p>
        </w:tc>
        <w:tc>
          <w:tcPr>
            <w:tcW w:w="1100" w:type="dxa"/>
            <w:vAlign w:val="bottom"/>
            <w:tcBorders>
              <w:right w:val="single" w:sz="8" w:color="auto"/>
            </w:tcBorders>
          </w:tcPr>
          <w:p>
            <w:pPr>
              <w:ind w:left="100"/>
              <w:spacing w:after="0"/>
              <w:rPr>
                <w:sz w:val="20"/>
                <w:szCs w:val="20"/>
                <w:color w:val="auto"/>
              </w:rPr>
            </w:pPr>
            <w:r>
              <w:rPr>
                <w:rFonts w:ascii="Calibri" w:cs="Calibri" w:eastAsia="Calibri" w:hAnsi="Calibri"/>
                <w:sz w:val="19"/>
                <w:szCs w:val="19"/>
                <w:color w:val="auto"/>
              </w:rPr>
              <w:t>mild, n (%)</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w w:val="98"/>
              </w:rPr>
              <w:t>4 (16.7%)</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rPr>
              <w:t>3 (13.0%)</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w w:val="98"/>
              </w:rPr>
              <w:t>5 (21.7%)</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rPr>
              <w:t>1 (4.2%)</w:t>
            </w:r>
          </w:p>
        </w:tc>
        <w:tc>
          <w:tcPr>
            <w:tcW w:w="0" w:type="dxa"/>
            <w:vAlign w:val="bottom"/>
          </w:tcPr>
          <w:p>
            <w:pPr>
              <w:spacing w:after="0"/>
              <w:rPr>
                <w:sz w:val="1"/>
                <w:szCs w:val="1"/>
                <w:color w:val="auto"/>
              </w:rPr>
            </w:pPr>
          </w:p>
        </w:tc>
      </w:tr>
      <w:tr>
        <w:trPr>
          <w:trHeight w:val="82"/>
        </w:trPr>
        <w:tc>
          <w:tcPr>
            <w:tcW w:w="2460" w:type="dxa"/>
            <w:vAlign w:val="bottom"/>
            <w:tcBorders>
              <w:left w:val="single" w:sz="8" w:color="auto"/>
            </w:tcBorders>
            <w:vMerge w:val="continue"/>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460" w:type="dxa"/>
            <w:vAlign w:val="bottom"/>
            <w:tcBorders>
              <w:left w:val="single" w:sz="8" w:color="auto"/>
            </w:tcBorders>
            <w:vMerge w:val="continue"/>
          </w:tcPr>
          <w:p>
            <w:pPr>
              <w:spacing w:after="0"/>
              <w:rPr>
                <w:sz w:val="6"/>
                <w:szCs w:val="6"/>
                <w:color w:val="auto"/>
              </w:rPr>
            </w:pPr>
          </w:p>
        </w:tc>
        <w:tc>
          <w:tcPr>
            <w:tcW w:w="1100" w:type="dxa"/>
            <w:vAlign w:val="bottom"/>
            <w:tcBorders>
              <w:right w:val="single" w:sz="8" w:color="auto"/>
            </w:tcBorders>
            <w:vMerge w:val="restart"/>
          </w:tcPr>
          <w:p>
            <w:pPr>
              <w:ind w:left="100"/>
              <w:spacing w:after="0"/>
              <w:rPr>
                <w:sz w:val="20"/>
                <w:szCs w:val="20"/>
                <w:color w:val="auto"/>
              </w:rPr>
            </w:pPr>
            <w:r>
              <w:rPr>
                <w:rFonts w:ascii="Calibri" w:cs="Calibri" w:eastAsia="Calibri" w:hAnsi="Calibri"/>
                <w:sz w:val="19"/>
                <w:szCs w:val="19"/>
                <w:color w:val="auto"/>
              </w:rPr>
              <w:t>mod, n (%)</w:t>
            </w:r>
          </w:p>
        </w:tc>
        <w:tc>
          <w:tcPr>
            <w:tcW w:w="12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9"/>
                <w:szCs w:val="19"/>
                <w:color w:val="auto"/>
              </w:rPr>
              <w:t>0 (0.0%)</w:t>
            </w:r>
          </w:p>
        </w:tc>
        <w:tc>
          <w:tcPr>
            <w:tcW w:w="12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9"/>
                <w:szCs w:val="19"/>
                <w:color w:val="auto"/>
              </w:rPr>
              <w:t>0 (0.0%)</w:t>
            </w:r>
          </w:p>
        </w:tc>
        <w:tc>
          <w:tcPr>
            <w:tcW w:w="12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9"/>
                <w:szCs w:val="19"/>
                <w:color w:val="auto"/>
              </w:rPr>
              <w:t>0 (0.0%)</w:t>
            </w:r>
          </w:p>
        </w:tc>
        <w:tc>
          <w:tcPr>
            <w:tcW w:w="12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9"/>
                <w:szCs w:val="19"/>
                <w:color w:val="auto"/>
              </w:rPr>
              <w:t>0 (0.0%)</w:t>
            </w:r>
          </w:p>
        </w:tc>
        <w:tc>
          <w:tcPr>
            <w:tcW w:w="0" w:type="dxa"/>
            <w:vAlign w:val="bottom"/>
          </w:tcPr>
          <w:p>
            <w:pPr>
              <w:spacing w:after="0"/>
              <w:rPr>
                <w:sz w:val="1"/>
                <w:szCs w:val="1"/>
                <w:color w:val="auto"/>
              </w:rPr>
            </w:pPr>
          </w:p>
        </w:tc>
      </w:tr>
      <w:tr>
        <w:trPr>
          <w:trHeight w:val="166"/>
        </w:trPr>
        <w:tc>
          <w:tcPr>
            <w:tcW w:w="2460" w:type="dxa"/>
            <w:vAlign w:val="bottom"/>
            <w:tcBorders>
              <w:left w:val="single" w:sz="8" w:color="auto"/>
            </w:tcBorders>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24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460" w:type="dxa"/>
            <w:vAlign w:val="bottom"/>
            <w:tcBorders>
              <w:left w:val="single" w:sz="8" w:color="auto"/>
              <w:bottom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460" w:type="dxa"/>
            <w:vAlign w:val="bottom"/>
            <w:tcBorders>
              <w:left w:val="single" w:sz="8" w:color="auto"/>
            </w:tcBorders>
            <w:vMerge w:val="restart"/>
          </w:tcPr>
          <w:p>
            <w:pPr>
              <w:ind w:left="240"/>
              <w:spacing w:after="0"/>
              <w:rPr>
                <w:sz w:val="20"/>
                <w:szCs w:val="20"/>
                <w:color w:val="auto"/>
              </w:rPr>
            </w:pPr>
            <w:r>
              <w:rPr>
                <w:rFonts w:ascii="Calibri" w:cs="Calibri" w:eastAsia="Calibri" w:hAnsi="Calibri"/>
                <w:sz w:val="19"/>
                <w:szCs w:val="19"/>
                <w:b w:val="1"/>
                <w:bCs w:val="1"/>
                <w:color w:val="auto"/>
              </w:rPr>
              <w:t>Constpaton</w:t>
            </w:r>
          </w:p>
        </w:tc>
        <w:tc>
          <w:tcPr>
            <w:tcW w:w="1100" w:type="dxa"/>
            <w:vAlign w:val="bottom"/>
            <w:tcBorders>
              <w:right w:val="single" w:sz="8" w:color="auto"/>
            </w:tcBorders>
          </w:tcPr>
          <w:p>
            <w:pPr>
              <w:ind w:left="100"/>
              <w:spacing w:after="0"/>
              <w:rPr>
                <w:sz w:val="20"/>
                <w:szCs w:val="20"/>
                <w:color w:val="auto"/>
              </w:rPr>
            </w:pPr>
            <w:r>
              <w:rPr>
                <w:rFonts w:ascii="Calibri" w:cs="Calibri" w:eastAsia="Calibri" w:hAnsi="Calibri"/>
                <w:sz w:val="19"/>
                <w:szCs w:val="19"/>
                <w:color w:val="auto"/>
              </w:rPr>
              <w:t>Mild, n (%)</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rPr>
              <w:t>0 (0.0%)</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rPr>
              <w:t>3 (13.0%)</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w w:val="98"/>
              </w:rPr>
              <w:t>4 (17.4%)</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9"/>
                <w:szCs w:val="19"/>
                <w:color w:val="auto"/>
              </w:rPr>
              <w:t>1 (4.2%)</w:t>
            </w:r>
          </w:p>
        </w:tc>
        <w:tc>
          <w:tcPr>
            <w:tcW w:w="0" w:type="dxa"/>
            <w:vAlign w:val="bottom"/>
          </w:tcPr>
          <w:p>
            <w:pPr>
              <w:spacing w:after="0"/>
              <w:rPr>
                <w:sz w:val="1"/>
                <w:szCs w:val="1"/>
                <w:color w:val="auto"/>
              </w:rPr>
            </w:pPr>
          </w:p>
        </w:tc>
      </w:tr>
      <w:tr>
        <w:trPr>
          <w:trHeight w:val="82"/>
        </w:trPr>
        <w:tc>
          <w:tcPr>
            <w:tcW w:w="2460" w:type="dxa"/>
            <w:vAlign w:val="bottom"/>
            <w:tcBorders>
              <w:left w:val="single" w:sz="8" w:color="auto"/>
            </w:tcBorders>
            <w:vMerge w:val="continue"/>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460" w:type="dxa"/>
            <w:vAlign w:val="bottom"/>
            <w:tcBorders>
              <w:left w:val="single" w:sz="8" w:color="auto"/>
            </w:tcBorders>
            <w:vMerge w:val="continue"/>
          </w:tcPr>
          <w:p>
            <w:pPr>
              <w:spacing w:after="0"/>
              <w:rPr>
                <w:sz w:val="6"/>
                <w:szCs w:val="6"/>
                <w:color w:val="auto"/>
              </w:rPr>
            </w:pPr>
          </w:p>
        </w:tc>
        <w:tc>
          <w:tcPr>
            <w:tcW w:w="1100" w:type="dxa"/>
            <w:vAlign w:val="bottom"/>
            <w:tcBorders>
              <w:right w:val="single" w:sz="8" w:color="auto"/>
            </w:tcBorders>
            <w:vMerge w:val="restart"/>
          </w:tcPr>
          <w:p>
            <w:pPr>
              <w:ind w:left="100"/>
              <w:spacing w:after="0"/>
              <w:rPr>
                <w:sz w:val="20"/>
                <w:szCs w:val="20"/>
                <w:color w:val="auto"/>
              </w:rPr>
            </w:pPr>
            <w:r>
              <w:rPr>
                <w:rFonts w:ascii="Calibri" w:cs="Calibri" w:eastAsia="Calibri" w:hAnsi="Calibri"/>
                <w:sz w:val="19"/>
                <w:szCs w:val="19"/>
                <w:color w:val="auto"/>
              </w:rPr>
              <w:t>mod, n (%)</w:t>
            </w:r>
          </w:p>
        </w:tc>
        <w:tc>
          <w:tcPr>
            <w:tcW w:w="12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9"/>
                <w:szCs w:val="19"/>
                <w:color w:val="auto"/>
              </w:rPr>
              <w:t>0 (0.0%)</w:t>
            </w:r>
          </w:p>
        </w:tc>
        <w:tc>
          <w:tcPr>
            <w:tcW w:w="12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9"/>
                <w:szCs w:val="19"/>
                <w:color w:val="auto"/>
              </w:rPr>
              <w:t>1 (4.3%)</w:t>
            </w:r>
          </w:p>
        </w:tc>
        <w:tc>
          <w:tcPr>
            <w:tcW w:w="12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9"/>
                <w:szCs w:val="19"/>
                <w:color w:val="auto"/>
              </w:rPr>
              <w:t>0 (0.0%)</w:t>
            </w:r>
          </w:p>
        </w:tc>
        <w:tc>
          <w:tcPr>
            <w:tcW w:w="12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9"/>
                <w:szCs w:val="19"/>
                <w:color w:val="auto"/>
              </w:rPr>
              <w:t>0 (0.0%)</w:t>
            </w:r>
          </w:p>
        </w:tc>
        <w:tc>
          <w:tcPr>
            <w:tcW w:w="0" w:type="dxa"/>
            <w:vAlign w:val="bottom"/>
          </w:tcPr>
          <w:p>
            <w:pPr>
              <w:spacing w:after="0"/>
              <w:rPr>
                <w:sz w:val="1"/>
                <w:szCs w:val="1"/>
                <w:color w:val="auto"/>
              </w:rPr>
            </w:pPr>
          </w:p>
        </w:tc>
      </w:tr>
      <w:tr>
        <w:trPr>
          <w:trHeight w:val="166"/>
        </w:trPr>
        <w:tc>
          <w:tcPr>
            <w:tcW w:w="2460" w:type="dxa"/>
            <w:vAlign w:val="bottom"/>
            <w:tcBorders>
              <w:left w:val="single" w:sz="8" w:color="auto"/>
            </w:tcBorders>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24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460" w:type="dxa"/>
            <w:vAlign w:val="bottom"/>
            <w:tcBorders>
              <w:left w:val="single" w:sz="8" w:color="auto"/>
              <w:bottom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200"/>
        <w:spacing w:after="0"/>
        <w:rPr>
          <w:sz w:val="20"/>
          <w:szCs w:val="20"/>
          <w:color w:val="auto"/>
        </w:rPr>
      </w:pPr>
      <w:r>
        <w:rPr>
          <w:rFonts w:ascii="Calibri" w:cs="Calibri" w:eastAsia="Calibri" w:hAnsi="Calibri"/>
          <w:sz w:val="19"/>
          <w:szCs w:val="19"/>
          <w:b w:val="1"/>
          <w:bCs w:val="1"/>
          <w:color w:val="auto"/>
        </w:rPr>
        <w:t>About Pemvidutde</w:t>
      </w:r>
    </w:p>
    <w:p>
      <w:pPr>
        <w:spacing w:after="0" w:line="8" w:lineRule="exact"/>
        <w:rPr>
          <w:sz w:val="20"/>
          <w:szCs w:val="20"/>
          <w:color w:val="auto"/>
        </w:rPr>
      </w:pPr>
    </w:p>
    <w:p>
      <w:pPr>
        <w:jc w:val="both"/>
        <w:ind w:left="200" w:right="219"/>
        <w:spacing w:after="0" w:line="217" w:lineRule="auto"/>
        <w:rPr>
          <w:sz w:val="20"/>
          <w:szCs w:val="20"/>
          <w:color w:val="auto"/>
        </w:rPr>
      </w:pPr>
      <w:r>
        <w:rPr>
          <w:rFonts w:ascii="Calibri" w:cs="Calibri" w:eastAsia="Calibri" w:hAnsi="Calibri"/>
          <w:sz w:val="19"/>
          <w:szCs w:val="19"/>
          <w:color w:val="auto"/>
        </w:rPr>
        <w:t>Pemvidutde is a novel, investgatonal, peptde-based GLP-1/glucagon dual receptor agonist in development for the treatment of obesity and NASH. Actvaton of the GLP-1 and glucagon receptors is believed to mimic the complementary efects of diet and exercise on weight loss, with GLP-1 suppressing appette and glucagon increasing energy expenditure. Pemvidutde incorporates the EuPort</w:t>
      </w:r>
      <w:r>
        <w:rPr>
          <w:rFonts w:ascii="Calibri" w:cs="Calibri" w:eastAsia="Calibri" w:hAnsi="Calibri"/>
          <w:sz w:val="28"/>
          <w:szCs w:val="28"/>
          <w:color w:val="auto"/>
          <w:vertAlign w:val="superscript"/>
        </w:rPr>
        <w:t>TM</w:t>
      </w:r>
      <w:r>
        <w:rPr>
          <w:rFonts w:ascii="Calibri" w:cs="Calibri" w:eastAsia="Calibri" w:hAnsi="Calibri"/>
          <w:sz w:val="19"/>
          <w:szCs w:val="19"/>
          <w:color w:val="auto"/>
        </w:rPr>
        <w:t xml:space="preserve"> domain, a proprietary technology that increases its serum half-life for weekly dosing while likely slowing the entry of pemvidutde into the bloodstream, which may improve its tolerability. In a 12-week Phase 1 clinical trial, pemvidutde-treated subjects demonstrated substantal reductons in body weight, liver fat and serum lipids commonly associated with cardiovascular disease.</w:t>
      </w:r>
    </w:p>
    <w:p>
      <w:pPr>
        <w:spacing w:after="0" w:line="224" w:lineRule="exact"/>
        <w:rPr>
          <w:sz w:val="20"/>
          <w:szCs w:val="20"/>
          <w:color w:val="auto"/>
        </w:rPr>
      </w:pPr>
    </w:p>
    <w:p>
      <w:pPr>
        <w:ind w:left="200"/>
        <w:spacing w:after="0"/>
        <w:rPr>
          <w:sz w:val="20"/>
          <w:szCs w:val="20"/>
          <w:color w:val="auto"/>
        </w:rPr>
      </w:pPr>
      <w:r>
        <w:rPr>
          <w:rFonts w:ascii="Calibri" w:cs="Calibri" w:eastAsia="Calibri" w:hAnsi="Calibri"/>
          <w:sz w:val="19"/>
          <w:szCs w:val="19"/>
          <w:b w:val="1"/>
          <w:bCs w:val="1"/>
          <w:color w:val="auto"/>
        </w:rPr>
        <w:t>Conference Call Informaton</w:t>
      </w:r>
    </w:p>
    <w:p>
      <w:pPr>
        <w:jc w:val="both"/>
        <w:ind w:left="200" w:right="219"/>
        <w:spacing w:after="0" w:line="230" w:lineRule="auto"/>
        <w:rPr>
          <w:sz w:val="20"/>
          <w:szCs w:val="20"/>
          <w:color w:val="auto"/>
        </w:rPr>
      </w:pPr>
      <w:r>
        <w:rPr>
          <w:rFonts w:ascii="Calibri" w:cs="Calibri" w:eastAsia="Calibri" w:hAnsi="Calibri"/>
          <w:sz w:val="19"/>
          <w:szCs w:val="19"/>
          <w:color w:val="auto"/>
        </w:rPr>
        <w:t>Altmmune management will host a conference call and webcast with a slide presentaton presented by Dr. Stephen A. Harrison beginning at 8:30 am E.T. Following the conclusion of the call, the webcast will be available for replay on the Investor Relatons page of the Company’s website at www.altmmune.com. The Company has used, and intends to contnue to use, the IR porton of its website as a means of disclosing material non-public informaton and for complying with disclosure obligatons under Regulaton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492760</wp:posOffset>
            </wp:positionV>
            <wp:extent cx="5464175"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6417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1042035</wp:posOffset>
            </wp:positionH>
            <wp:positionV relativeFrom="page">
              <wp:posOffset>414020</wp:posOffset>
            </wp:positionV>
            <wp:extent cx="1203325" cy="8616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03325" cy="86169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200"/>
        <w:spacing w:after="0"/>
        <w:rPr>
          <w:sz w:val="20"/>
          <w:szCs w:val="20"/>
          <w:color w:val="auto"/>
        </w:rPr>
      </w:pPr>
      <w:r>
        <w:rPr>
          <w:rFonts w:ascii="Calibri" w:cs="Calibri" w:eastAsia="Calibri" w:hAnsi="Calibri"/>
          <w:sz w:val="19"/>
          <w:szCs w:val="19"/>
          <w:b w:val="1"/>
          <w:bCs w:val="1"/>
          <w:color w:val="auto"/>
        </w:rPr>
        <w:t>Conference Call Informaton:</w:t>
      </w:r>
    </w:p>
    <w:p>
      <w:pPr>
        <w:ind w:left="200"/>
        <w:spacing w:after="0" w:line="238" w:lineRule="auto"/>
        <w:tabs>
          <w:tab w:leader="none" w:pos="1420" w:val="left"/>
        </w:tabs>
        <w:rPr>
          <w:sz w:val="20"/>
          <w:szCs w:val="20"/>
          <w:color w:val="auto"/>
        </w:rPr>
      </w:pPr>
      <w:r>
        <w:rPr>
          <w:rFonts w:ascii="Calibri" w:cs="Calibri" w:eastAsia="Calibri" w:hAnsi="Calibri"/>
          <w:sz w:val="19"/>
          <w:szCs w:val="19"/>
          <w:color w:val="auto"/>
        </w:rPr>
        <w:t>Date:</w:t>
      </w:r>
      <w:r>
        <w:rPr>
          <w:sz w:val="20"/>
          <w:szCs w:val="20"/>
          <w:color w:val="auto"/>
        </w:rPr>
        <w:tab/>
      </w:r>
      <w:r>
        <w:rPr>
          <w:rFonts w:ascii="Calibri" w:cs="Calibri" w:eastAsia="Calibri" w:hAnsi="Calibri"/>
          <w:sz w:val="19"/>
          <w:szCs w:val="19"/>
          <w:color w:val="auto"/>
        </w:rPr>
        <w:t>Wednesday, September 14</w:t>
      </w:r>
    </w:p>
    <w:p>
      <w:pPr>
        <w:ind w:left="200"/>
        <w:spacing w:after="0" w:line="225" w:lineRule="auto"/>
        <w:tabs>
          <w:tab w:leader="none" w:pos="1420" w:val="left"/>
        </w:tabs>
        <w:rPr>
          <w:sz w:val="20"/>
          <w:szCs w:val="20"/>
          <w:color w:val="auto"/>
        </w:rPr>
      </w:pPr>
      <w:r>
        <w:rPr>
          <w:rFonts w:ascii="Calibri" w:cs="Calibri" w:eastAsia="Calibri" w:hAnsi="Calibri"/>
          <w:sz w:val="19"/>
          <w:szCs w:val="19"/>
          <w:color w:val="auto"/>
        </w:rPr>
        <w:t>Time:</w:t>
      </w:r>
      <w:r>
        <w:rPr>
          <w:sz w:val="20"/>
          <w:szCs w:val="20"/>
          <w:color w:val="auto"/>
        </w:rPr>
        <w:tab/>
      </w:r>
      <w:r>
        <w:rPr>
          <w:rFonts w:ascii="Calibri" w:cs="Calibri" w:eastAsia="Calibri" w:hAnsi="Calibri"/>
          <w:sz w:val="19"/>
          <w:szCs w:val="19"/>
          <w:color w:val="auto"/>
        </w:rPr>
        <w:t>8:30 am Eastern Time</w:t>
      </w:r>
    </w:p>
    <w:p>
      <w:pPr>
        <w:ind w:left="200"/>
        <w:spacing w:after="0"/>
        <w:tabs>
          <w:tab w:leader="none" w:pos="1420" w:val="left"/>
        </w:tabs>
        <w:rPr>
          <w:sz w:val="20"/>
          <w:szCs w:val="20"/>
          <w:color w:val="auto"/>
        </w:rPr>
      </w:pPr>
      <w:r>
        <w:rPr>
          <w:rFonts w:ascii="Calibri" w:cs="Calibri" w:eastAsia="Calibri" w:hAnsi="Calibri"/>
          <w:sz w:val="19"/>
          <w:szCs w:val="19"/>
          <w:color w:val="auto"/>
        </w:rPr>
        <w:t>Webcast:</w:t>
      </w:r>
      <w:r>
        <w:rPr>
          <w:sz w:val="20"/>
          <w:szCs w:val="20"/>
          <w:color w:val="auto"/>
        </w:rPr>
        <w:tab/>
      </w:r>
      <w:r>
        <w:rPr>
          <w:rFonts w:ascii="Calibri" w:cs="Calibri" w:eastAsia="Calibri" w:hAnsi="Calibri"/>
          <w:sz w:val="19"/>
          <w:szCs w:val="19"/>
          <w:color w:val="auto"/>
        </w:rPr>
        <w:t>The conference call will be webcast live on Altmmune’s Investor Relatons website at</w:t>
      </w:r>
    </w:p>
    <w:p>
      <w:pPr>
        <w:ind w:left="1440"/>
        <w:spacing w:after="0" w:line="237" w:lineRule="auto"/>
        <w:rPr>
          <w:sz w:val="20"/>
          <w:szCs w:val="20"/>
          <w:color w:val="auto"/>
        </w:rPr>
      </w:pPr>
      <w:r>
        <w:rPr>
          <w:rFonts w:ascii="Calibri" w:cs="Calibri" w:eastAsia="Calibri" w:hAnsi="Calibri"/>
          <w:sz w:val="19"/>
          <w:szCs w:val="19"/>
          <w:color w:val="auto"/>
        </w:rPr>
        <w:t>htps://ir.altmmune.com/investors.</w:t>
      </w:r>
    </w:p>
    <w:p>
      <w:pPr>
        <w:spacing w:after="0" w:line="12" w:lineRule="exact"/>
        <w:rPr>
          <w:sz w:val="20"/>
          <w:szCs w:val="20"/>
          <w:color w:val="auto"/>
        </w:rPr>
      </w:pPr>
    </w:p>
    <w:p>
      <w:pPr>
        <w:ind w:left="200"/>
        <w:spacing w:after="0"/>
        <w:tabs>
          <w:tab w:leader="none" w:pos="1420" w:val="left"/>
        </w:tabs>
        <w:rPr>
          <w:sz w:val="20"/>
          <w:szCs w:val="20"/>
          <w:color w:val="auto"/>
        </w:rPr>
      </w:pPr>
      <w:r>
        <w:rPr>
          <w:rFonts w:ascii="Calibri" w:cs="Calibri" w:eastAsia="Calibri" w:hAnsi="Calibri"/>
          <w:sz w:val="19"/>
          <w:szCs w:val="19"/>
          <w:color w:val="auto"/>
        </w:rPr>
        <w:t>Dial-in</w:t>
      </w:r>
      <w:r>
        <w:rPr>
          <w:sz w:val="20"/>
          <w:szCs w:val="20"/>
          <w:color w:val="auto"/>
        </w:rPr>
        <w:tab/>
      </w:r>
      <w:r>
        <w:rPr>
          <w:rFonts w:ascii="Calibri" w:cs="Calibri" w:eastAsia="Calibri" w:hAnsi="Calibri"/>
          <w:sz w:val="19"/>
          <w:szCs w:val="19"/>
          <w:color w:val="auto"/>
        </w:rPr>
        <w:t>Partcipants who would like to join the call may register here to receive the dial-in numbers</w:t>
      </w:r>
    </w:p>
    <w:p>
      <w:pPr>
        <w:ind w:left="1440"/>
        <w:spacing w:after="0" w:line="238" w:lineRule="auto"/>
        <w:rPr>
          <w:sz w:val="20"/>
          <w:szCs w:val="20"/>
          <w:color w:val="auto"/>
        </w:rPr>
      </w:pPr>
      <w:r>
        <w:rPr>
          <w:rFonts w:ascii="Calibri" w:cs="Calibri" w:eastAsia="Calibri" w:hAnsi="Calibri"/>
          <w:sz w:val="19"/>
          <w:szCs w:val="19"/>
          <w:color w:val="auto"/>
        </w:rPr>
        <w:t>and unique PIN to access the call.</w:t>
      </w:r>
    </w:p>
    <w:p>
      <w:pPr>
        <w:spacing w:after="0" w:line="255" w:lineRule="exact"/>
        <w:rPr>
          <w:sz w:val="20"/>
          <w:szCs w:val="20"/>
          <w:color w:val="auto"/>
        </w:rPr>
      </w:pPr>
    </w:p>
    <w:p>
      <w:pPr>
        <w:ind w:left="200"/>
        <w:spacing w:after="0"/>
        <w:rPr>
          <w:sz w:val="20"/>
          <w:szCs w:val="20"/>
          <w:color w:val="auto"/>
        </w:rPr>
      </w:pPr>
      <w:r>
        <w:rPr>
          <w:rFonts w:ascii="Calibri" w:cs="Calibri" w:eastAsia="Calibri" w:hAnsi="Calibri"/>
          <w:sz w:val="19"/>
          <w:szCs w:val="19"/>
          <w:b w:val="1"/>
          <w:bCs w:val="1"/>
          <w:color w:val="auto"/>
        </w:rPr>
        <w:t>About Altmmune</w:t>
      </w:r>
    </w:p>
    <w:p>
      <w:pPr>
        <w:jc w:val="both"/>
        <w:ind w:left="200" w:right="219"/>
        <w:spacing w:after="0" w:line="230" w:lineRule="auto"/>
        <w:rPr>
          <w:sz w:val="20"/>
          <w:szCs w:val="20"/>
          <w:color w:val="auto"/>
        </w:rPr>
      </w:pPr>
      <w:r>
        <w:rPr>
          <w:rFonts w:ascii="Calibri" w:cs="Calibri" w:eastAsia="Calibri" w:hAnsi="Calibri"/>
          <w:sz w:val="19"/>
          <w:szCs w:val="19"/>
          <w:color w:val="auto"/>
        </w:rPr>
        <w:t>Altmmune is a clinical-stage biopharmaceutcal company focused on the development of novel peptde-based therapeutcs for the treatment of obesity and liver diseases. The company’s lead product candidate, pemvidutde, is a GLP-1/glucagon dual receptor agonist that is being developed for the treatment of obesity and NASH. In additon, Altmmune is developing HepTcell™, an immunotherapeutc designed to achieve a functonal cure for chronic hepatts B. For more informaton, please visit www.altmmune.com.</w:t>
      </w:r>
    </w:p>
    <w:p>
      <w:pPr>
        <w:spacing w:after="0" w:line="219" w:lineRule="exact"/>
        <w:rPr>
          <w:sz w:val="20"/>
          <w:szCs w:val="20"/>
          <w:color w:val="auto"/>
        </w:rPr>
      </w:pPr>
    </w:p>
    <w:p>
      <w:pPr>
        <w:ind w:left="200"/>
        <w:spacing w:after="0"/>
        <w:rPr>
          <w:sz w:val="20"/>
          <w:szCs w:val="20"/>
          <w:color w:val="auto"/>
        </w:rPr>
      </w:pPr>
      <w:r>
        <w:rPr>
          <w:rFonts w:ascii="Calibri" w:cs="Calibri" w:eastAsia="Calibri" w:hAnsi="Calibri"/>
          <w:sz w:val="19"/>
          <w:szCs w:val="19"/>
          <w:b w:val="1"/>
          <w:bCs w:val="1"/>
          <w:color w:val="auto"/>
        </w:rPr>
        <w:t>Follow @Altmmune, Inc. on LinkedIn</w:t>
      </w:r>
    </w:p>
    <w:p>
      <w:pPr>
        <w:ind w:left="200"/>
        <w:spacing w:after="0" w:line="238" w:lineRule="auto"/>
        <w:rPr>
          <w:sz w:val="20"/>
          <w:szCs w:val="20"/>
          <w:color w:val="auto"/>
        </w:rPr>
      </w:pPr>
      <w:r>
        <w:rPr>
          <w:rFonts w:ascii="Calibri" w:cs="Calibri" w:eastAsia="Calibri" w:hAnsi="Calibri"/>
          <w:sz w:val="19"/>
          <w:szCs w:val="19"/>
          <w:b w:val="1"/>
          <w:bCs w:val="1"/>
          <w:color w:val="auto"/>
        </w:rPr>
        <w:t>Follow @AltmmuneInc on Twiter</w:t>
      </w:r>
    </w:p>
    <w:p>
      <w:pPr>
        <w:spacing w:after="0" w:line="153" w:lineRule="exact"/>
        <w:rPr>
          <w:sz w:val="20"/>
          <w:szCs w:val="20"/>
          <w:color w:val="auto"/>
        </w:rPr>
      </w:pPr>
    </w:p>
    <w:p>
      <w:pPr>
        <w:ind w:left="200"/>
        <w:spacing w:after="0"/>
        <w:rPr>
          <w:sz w:val="20"/>
          <w:szCs w:val="20"/>
          <w:color w:val="auto"/>
        </w:rPr>
      </w:pPr>
      <w:r>
        <w:rPr>
          <w:rFonts w:ascii="Calibri" w:cs="Calibri" w:eastAsia="Calibri" w:hAnsi="Calibri"/>
          <w:sz w:val="19"/>
          <w:szCs w:val="19"/>
          <w:b w:val="1"/>
          <w:bCs w:val="1"/>
          <w:color w:val="auto"/>
        </w:rPr>
        <w:t>Forward-Looking Statement</w:t>
      </w:r>
    </w:p>
    <w:p>
      <w:pPr>
        <w:spacing w:after="0" w:line="238" w:lineRule="exact"/>
        <w:rPr>
          <w:sz w:val="20"/>
          <w:szCs w:val="20"/>
          <w:color w:val="auto"/>
        </w:rPr>
      </w:pPr>
    </w:p>
    <w:p>
      <w:pPr>
        <w:jc w:val="both"/>
        <w:ind w:left="200" w:right="219"/>
        <w:spacing w:after="0" w:line="231" w:lineRule="auto"/>
        <w:rPr>
          <w:sz w:val="20"/>
          <w:szCs w:val="20"/>
          <w:color w:val="auto"/>
        </w:rPr>
      </w:pPr>
      <w:r>
        <w:rPr>
          <w:rFonts w:ascii="Calibri" w:cs="Calibri" w:eastAsia="Calibri" w:hAnsi="Calibri"/>
          <w:sz w:val="19"/>
          <w:szCs w:val="19"/>
          <w:color w:val="auto"/>
        </w:rPr>
        <w:t>Any statements made in this press release relatng to future fnancial or business performance, conditons, plans, prospects, trends, or strategies and other fnancial and business maters, including without limitaton, the tming of key milestones for our clinical assets, the tming of the data readouts of the NAFLD trials, the Phase 2 obesity clinical trial of pemvidutde, and the prospects for regulatory approval, commercializing or selling any product or drug candidates, are forward-looking statements within the meaning of the Private Securites Litgaton Reform Act of 1995. In additon, when or if used in this press release, the words “may,” “could,” “should,” “antcipate,” “believe,” “estmate,” “expect,” “intend,” “plan,” “predict” and similar expressions and their variants, as they relate to Altmmune, Inc. (the “Company”) may identfy forward-looking statements. The Company cautons that these forward-looking statements are subject to numerous assumptons, risks, and uncertaintes, which change over tme. Important factors that may cause actual results to difer materially from the results discussed in the forward looking statements or historical experience include risks and uncertaintes, including risks relatng to: potental impacts from the ongoing confict in Ukraine and the COVID-19 pandemic, such as delays in regulatory review, manufacturing and supply chain interruptons, access to clinical sites, enrollment, adverse efects on healthcare systems and disrupton of the global economy; the impact of liver fat content and demographics in the Phase 1b NAFLD study on the success of future trials; the reliability of the results of studies relatng to human safety and possible adverse efects resultng from the administraton of the Company’s product candidates; the Company’s ability to manufacture clinical trial materials on the tmelines antcipated; and the success of future product advancements, including the success of future clinical trials. Further informaton on the factors and risks that could afect the Company's business, fnancial conditons and results of operatons are contained in the Company’s flings with the U.S. Securites and Exchange Commission, including under the heading “Risk Factors”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339090</wp:posOffset>
            </wp:positionV>
            <wp:extent cx="5464175"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6417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1042035</wp:posOffset>
            </wp:positionH>
            <wp:positionV relativeFrom="page">
              <wp:posOffset>414020</wp:posOffset>
            </wp:positionV>
            <wp:extent cx="1203325" cy="8616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03325" cy="86169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00" w:right="219"/>
        <w:spacing w:after="0" w:line="234" w:lineRule="auto"/>
        <w:rPr>
          <w:sz w:val="20"/>
          <w:szCs w:val="20"/>
          <w:color w:val="auto"/>
        </w:rPr>
      </w:pPr>
      <w:r>
        <w:rPr>
          <w:rFonts w:ascii="Calibri" w:cs="Calibri" w:eastAsia="Calibri" w:hAnsi="Calibri"/>
          <w:sz w:val="19"/>
          <w:szCs w:val="19"/>
          <w:color w:val="auto"/>
        </w:rPr>
        <w:t>Company’s annual report on Form 10-K for the fscal year ended December 31, 2021 and our other flings with the SEC, which are available at www.sec.gov.</w:t>
      </w:r>
    </w:p>
    <w:p>
      <w:pPr>
        <w:spacing w:after="0" w:line="217" w:lineRule="exact"/>
        <w:rPr>
          <w:sz w:val="20"/>
          <w:szCs w:val="20"/>
          <w:color w:val="auto"/>
        </w:rPr>
      </w:pPr>
    </w:p>
    <w:p>
      <w:pPr>
        <w:ind w:left="200"/>
        <w:spacing w:after="0"/>
        <w:rPr>
          <w:sz w:val="20"/>
          <w:szCs w:val="20"/>
          <w:color w:val="auto"/>
        </w:rPr>
      </w:pPr>
      <w:r>
        <w:rPr>
          <w:rFonts w:ascii="Calibri" w:cs="Calibri" w:eastAsia="Calibri" w:hAnsi="Calibri"/>
          <w:sz w:val="19"/>
          <w:szCs w:val="19"/>
          <w:b w:val="1"/>
          <w:bCs w:val="1"/>
          <w:color w:val="auto"/>
        </w:rPr>
        <w:t>Investor &amp; Media Contacts:</w:t>
      </w:r>
    </w:p>
    <w:p>
      <w:pPr>
        <w:spacing w:after="0" w:line="216" w:lineRule="exact"/>
        <w:rPr>
          <w:sz w:val="20"/>
          <w:szCs w:val="20"/>
          <w:color w:val="auto"/>
        </w:rPr>
      </w:pPr>
    </w:p>
    <w:p>
      <w:pPr>
        <w:ind w:left="200"/>
        <w:spacing w:after="0"/>
        <w:rPr>
          <w:sz w:val="20"/>
          <w:szCs w:val="20"/>
          <w:color w:val="auto"/>
        </w:rPr>
      </w:pPr>
      <w:r>
        <w:rPr>
          <w:rFonts w:ascii="Calibri" w:cs="Calibri" w:eastAsia="Calibri" w:hAnsi="Calibri"/>
          <w:sz w:val="19"/>
          <w:szCs w:val="19"/>
          <w:color w:val="auto"/>
        </w:rPr>
        <w:t>Rich Eisenstadt</w:t>
      </w:r>
    </w:p>
    <w:p>
      <w:pPr>
        <w:ind w:left="200"/>
        <w:spacing w:after="0" w:line="225" w:lineRule="auto"/>
        <w:rPr>
          <w:sz w:val="20"/>
          <w:szCs w:val="20"/>
          <w:color w:val="auto"/>
        </w:rPr>
      </w:pPr>
      <w:r>
        <w:rPr>
          <w:rFonts w:ascii="Calibri" w:cs="Calibri" w:eastAsia="Calibri" w:hAnsi="Calibri"/>
          <w:sz w:val="19"/>
          <w:szCs w:val="19"/>
          <w:color w:val="auto"/>
        </w:rPr>
        <w:t>Chief Financial Ofcer</w:t>
      </w:r>
    </w:p>
    <w:p>
      <w:pPr>
        <w:ind w:left="200"/>
        <w:spacing w:after="0" w:line="238" w:lineRule="auto"/>
        <w:rPr>
          <w:sz w:val="20"/>
          <w:szCs w:val="20"/>
          <w:color w:val="auto"/>
        </w:rPr>
      </w:pPr>
      <w:r>
        <w:rPr>
          <w:rFonts w:ascii="Calibri" w:cs="Calibri" w:eastAsia="Calibri" w:hAnsi="Calibri"/>
          <w:sz w:val="19"/>
          <w:szCs w:val="19"/>
          <w:color w:val="auto"/>
        </w:rPr>
        <w:t>Phone: 240-654-1450</w:t>
      </w:r>
    </w:p>
    <w:p>
      <w:pPr>
        <w:ind w:left="200"/>
        <w:spacing w:after="0" w:line="226" w:lineRule="auto"/>
        <w:rPr>
          <w:sz w:val="20"/>
          <w:szCs w:val="20"/>
          <w:color w:val="auto"/>
        </w:rPr>
      </w:pPr>
      <w:r>
        <w:rPr>
          <w:rFonts w:ascii="Calibri" w:cs="Calibri" w:eastAsia="Calibri" w:hAnsi="Calibri"/>
          <w:sz w:val="19"/>
          <w:szCs w:val="19"/>
          <w:color w:val="auto"/>
        </w:rPr>
        <w:t>reisenstadt@altmmune.com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336550</wp:posOffset>
            </wp:positionV>
            <wp:extent cx="5464175"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64175" cy="241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210" cy="41878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87210" cy="4187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210" cy="41878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87210" cy="4187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210" cy="41878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87210" cy="4187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210" cy="4187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87210" cy="4187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210" cy="41878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87210" cy="4187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210" cy="41878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87210" cy="4187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210" cy="41878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87210" cy="4187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210" cy="41878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87210" cy="4187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210" cy="41878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87210" cy="4187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210" cy="41878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87210" cy="4187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210" cy="41878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87210" cy="4187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210" cy="41878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87210" cy="4187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210" cy="41878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87210" cy="4187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210" cy="41878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87210" cy="4187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210" cy="41878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87210" cy="4187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210" cy="41878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87210" cy="4187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210" cy="41878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87210" cy="4187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210" cy="41878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87210" cy="41878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2022-09-14T06:18:11Z</dcterms:created>
  <dcterms:modified xsi:type="dcterms:W3CDTF">2022-09-14T06:18:11Z</dcterms:modified>
</cp:coreProperties>
</file>