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177800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246380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ind w:right="-9"/>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ind w:right="-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9"/>
        <w:spacing w:after="0"/>
        <w:rPr>
          <w:sz w:val="20"/>
          <w:szCs w:val="20"/>
          <w:color w:val="auto"/>
        </w:rPr>
      </w:pPr>
      <w:r>
        <w:rPr>
          <w:rFonts w:ascii="Arial" w:cs="Arial" w:eastAsia="Arial" w:hAnsi="Arial"/>
          <w:sz w:val="18"/>
          <w:szCs w:val="18"/>
          <w:b w:val="1"/>
          <w:bCs w:val="1"/>
          <w:color w:val="auto"/>
        </w:rPr>
        <w:t>Washington, D.C. 20549</w:t>
      </w:r>
    </w:p>
    <w:p>
      <w:pPr>
        <w:spacing w:after="0" w:line="65" w:lineRule="exact"/>
        <w:rPr>
          <w:sz w:val="24"/>
          <w:szCs w:val="24"/>
          <w:color w:val="auto"/>
        </w:rPr>
      </w:pPr>
    </w:p>
    <w:p>
      <w:pPr>
        <w:jc w:val="center"/>
        <w:ind w:right="-9"/>
        <w:spacing w:after="0"/>
        <w:rPr>
          <w:sz w:val="20"/>
          <w:szCs w:val="20"/>
          <w:color w:val="auto"/>
        </w:rPr>
      </w:pPr>
      <w:r>
        <w:rPr>
          <w:rFonts w:ascii="Arial" w:cs="Arial" w:eastAsia="Arial" w:hAnsi="Arial"/>
          <w:sz w:val="25"/>
          <w:szCs w:val="25"/>
          <w:b w:val="1"/>
          <w:bCs w:val="1"/>
          <w:color w:val="auto"/>
        </w:rPr>
        <w:t>FORM 10-Q</w:t>
      </w:r>
    </w:p>
    <w:p>
      <w:pPr>
        <w:spacing w:after="0" w:line="122" w:lineRule="exact"/>
        <w:rPr>
          <w:sz w:val="24"/>
          <w:szCs w:val="24"/>
          <w:color w:val="auto"/>
        </w:rPr>
      </w:pPr>
    </w:p>
    <w:p>
      <w:pPr>
        <w:ind w:left="10"/>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jc w:val="center"/>
        <w:ind w:left="3150" w:right="660" w:hanging="3150"/>
        <w:spacing w:after="0" w:line="360" w:lineRule="auto"/>
        <w:tabs>
          <w:tab w:leader="none" w:pos="437"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2022</w:t>
      </w:r>
    </w:p>
    <w:p>
      <w:pPr>
        <w:jc w:val="center"/>
        <w:ind w:right="-9"/>
        <w:spacing w:after="0"/>
        <w:rPr>
          <w:sz w:val="20"/>
          <w:szCs w:val="20"/>
          <w:color w:val="auto"/>
        </w:rPr>
      </w:pPr>
      <w:r>
        <w:rPr>
          <w:rFonts w:ascii="Arial" w:cs="Arial" w:eastAsia="Arial" w:hAnsi="Arial"/>
          <w:sz w:val="18"/>
          <w:szCs w:val="18"/>
          <w:b w:val="1"/>
          <w:bCs w:val="1"/>
          <w:color w:val="auto"/>
        </w:rPr>
        <w:t>or</w:t>
      </w:r>
    </w:p>
    <w:p>
      <w:pPr>
        <w:spacing w:after="0" w:line="90" w:lineRule="exact"/>
        <w:rPr>
          <w:sz w:val="24"/>
          <w:szCs w:val="24"/>
          <w:color w:val="auto"/>
        </w:rPr>
      </w:pPr>
    </w:p>
    <w:p>
      <w:pPr>
        <w:ind w:left="430" w:hanging="430"/>
        <w:spacing w:after="0"/>
        <w:tabs>
          <w:tab w:leader="none" w:pos="43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17" w:lineRule="exact"/>
        <w:rPr>
          <w:sz w:val="24"/>
          <w:szCs w:val="24"/>
          <w:color w:val="auto"/>
        </w:rPr>
      </w:pPr>
    </w:p>
    <w:p>
      <w:pPr>
        <w:ind w:left="3090"/>
        <w:spacing w:after="0"/>
        <w:tabs>
          <w:tab w:leader="none" w:pos="621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3467100</wp:posOffset>
            </wp:positionH>
            <wp:positionV relativeFrom="paragraph">
              <wp:posOffset>-7620</wp:posOffset>
            </wp:positionV>
            <wp:extent cx="10375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7590" cy="8255"/>
                    </a:xfrm>
                    <a:prstGeom prst="rect">
                      <a:avLst/>
                    </a:prstGeom>
                    <a:noFill/>
                  </pic:spPr>
                </pic:pic>
              </a:graphicData>
            </a:graphic>
          </wp:anchor>
        </w:drawing>
      </w:r>
    </w:p>
    <w:p>
      <w:pPr>
        <w:spacing w:after="0" w:line="70" w:lineRule="exact"/>
        <w:rPr>
          <w:sz w:val="24"/>
          <w:szCs w:val="24"/>
          <w:color w:val="auto"/>
        </w:rPr>
      </w:pPr>
    </w:p>
    <w:p>
      <w:pPr>
        <w:jc w:val="center"/>
        <w:ind w:right="-9"/>
        <w:spacing w:after="0"/>
        <w:rPr>
          <w:sz w:val="20"/>
          <w:szCs w:val="20"/>
          <w:color w:val="auto"/>
        </w:rPr>
      </w:pPr>
      <w:r>
        <w:rPr>
          <w:rFonts w:ascii="Arial" w:cs="Arial" w:eastAsia="Arial" w:hAnsi="Arial"/>
          <w:sz w:val="18"/>
          <w:szCs w:val="18"/>
          <w:b w:val="1"/>
          <w:bCs w:val="1"/>
          <w:color w:val="auto"/>
        </w:rPr>
        <w:t>Commission file number 001-32587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1567180</wp:posOffset>
            </wp:positionH>
            <wp:positionV relativeFrom="paragraph">
              <wp:posOffset>205740</wp:posOffset>
            </wp:positionV>
            <wp:extent cx="3360420" cy="7289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0420" cy="728980"/>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77470</wp:posOffset>
            </wp:positionV>
            <wp:extent cx="16287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jc w:val="center"/>
        <w:ind w:right="-9"/>
        <w:spacing w:after="0"/>
        <w:rPr>
          <w:sz w:val="20"/>
          <w:szCs w:val="20"/>
          <w:color w:val="auto"/>
        </w:rPr>
      </w:pPr>
      <w:r>
        <w:rPr>
          <w:rFonts w:ascii="Arial" w:cs="Arial" w:eastAsia="Arial" w:hAnsi="Arial"/>
          <w:sz w:val="32"/>
          <w:szCs w:val="32"/>
          <w:b w:val="1"/>
          <w:bCs w:val="1"/>
          <w:color w:val="auto"/>
        </w:rPr>
        <w:t>ALTIMMUNE, INC.</w:t>
      </w:r>
    </w:p>
    <w:p>
      <w:pPr>
        <w:spacing w:after="0" w:line="55" w:lineRule="exact"/>
        <w:rPr>
          <w:sz w:val="24"/>
          <w:szCs w:val="24"/>
          <w:color w:val="auto"/>
        </w:rPr>
      </w:pPr>
    </w:p>
    <w:p>
      <w:pPr>
        <w:jc w:val="center"/>
        <w:ind w:right="-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66675</wp:posOffset>
            </wp:positionV>
            <wp:extent cx="16287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287" w:lineRule="exact"/>
        <w:rPr>
          <w:sz w:val="24"/>
          <w:szCs w:val="24"/>
          <w:color w:val="auto"/>
        </w:rPr>
      </w:pPr>
    </w:p>
    <w:tbl>
      <w:tblPr>
        <w:tblLayout w:type="fixed"/>
        <w:tblInd w:w="650" w:type="dxa"/>
        <w:tblCellMar>
          <w:top w:w="0" w:type="dxa"/>
          <w:left w:w="0" w:type="dxa"/>
          <w:bottom w:w="0" w:type="dxa"/>
          <w:right w:w="0" w:type="dxa"/>
        </w:tblCellMar>
      </w:tblPr>
      <w:tr>
        <w:trPr>
          <w:trHeight w:val="203"/>
        </w:trPr>
        <w:tc>
          <w:tcPr>
            <w:tcW w:w="6200" w:type="dxa"/>
            <w:vAlign w:val="bottom"/>
          </w:tcPr>
          <w:p>
            <w:pPr>
              <w:jc w:val="center"/>
              <w:ind w:right="2314"/>
              <w:spacing w:after="0"/>
              <w:rPr>
                <w:sz w:val="20"/>
                <w:szCs w:val="20"/>
                <w:color w:val="auto"/>
              </w:rPr>
            </w:pPr>
            <w:r>
              <w:rPr>
                <w:rFonts w:ascii="Arial" w:cs="Arial" w:eastAsia="Arial" w:hAnsi="Arial"/>
                <w:sz w:val="16"/>
                <w:szCs w:val="16"/>
                <w:b w:val="1"/>
                <w:bCs w:val="1"/>
                <w:color w:val="auto"/>
                <w:w w:val="93"/>
              </w:rPr>
              <w:t>Delaware</w:t>
            </w: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20-2726770</w:t>
            </w:r>
          </w:p>
        </w:tc>
      </w:tr>
      <w:tr>
        <w:trPr>
          <w:trHeight w:val="121"/>
        </w:trPr>
        <w:tc>
          <w:tcPr>
            <w:tcW w:w="6200" w:type="dxa"/>
            <w:vAlign w:val="bottom"/>
          </w:tcPr>
          <w:p>
            <w:pPr>
              <w:jc w:val="center"/>
              <w:ind w:right="2334"/>
              <w:spacing w:after="0" w:line="122" w:lineRule="exact"/>
              <w:rPr>
                <w:sz w:val="20"/>
                <w:szCs w:val="20"/>
                <w:color w:val="auto"/>
              </w:rPr>
            </w:pPr>
            <w:r>
              <w:rPr>
                <w:rFonts w:ascii="Arial" w:cs="Arial" w:eastAsia="Arial" w:hAnsi="Arial"/>
                <w:sz w:val="11"/>
                <w:szCs w:val="11"/>
                <w:b w:val="1"/>
                <w:bCs w:val="1"/>
                <w:color w:val="auto"/>
                <w:w w:val="89"/>
              </w:rPr>
              <w:t>(State or Other Jurisdiction of</w:t>
            </w:r>
          </w:p>
        </w:tc>
        <w:tc>
          <w:tcPr>
            <w:tcW w:w="1320" w:type="dxa"/>
            <w:vAlign w:val="bottom"/>
          </w:tcPr>
          <w:p>
            <w:pPr>
              <w:jc w:val="center"/>
              <w:ind w:left="395"/>
              <w:spacing w:after="0" w:line="122" w:lineRule="exact"/>
              <w:rPr>
                <w:sz w:val="20"/>
                <w:szCs w:val="20"/>
                <w:color w:val="auto"/>
              </w:rPr>
            </w:pPr>
            <w:r>
              <w:rPr>
                <w:rFonts w:ascii="Arial" w:cs="Arial" w:eastAsia="Arial" w:hAnsi="Arial"/>
                <w:sz w:val="11"/>
                <w:szCs w:val="11"/>
                <w:b w:val="1"/>
                <w:bCs w:val="1"/>
                <w:color w:val="auto"/>
                <w:w w:val="92"/>
              </w:rPr>
              <w:t>(I.R.S. Employer</w:t>
            </w:r>
          </w:p>
        </w:tc>
      </w:tr>
      <w:tr>
        <w:trPr>
          <w:trHeight w:val="140"/>
        </w:trPr>
        <w:tc>
          <w:tcPr>
            <w:tcW w:w="6200" w:type="dxa"/>
            <w:vAlign w:val="bottom"/>
          </w:tcPr>
          <w:p>
            <w:pPr>
              <w:jc w:val="center"/>
              <w:ind w:right="2314"/>
              <w:spacing w:after="0"/>
              <w:rPr>
                <w:sz w:val="20"/>
                <w:szCs w:val="20"/>
                <w:color w:val="auto"/>
              </w:rPr>
            </w:pPr>
            <w:r>
              <w:rPr>
                <w:rFonts w:ascii="Arial" w:cs="Arial" w:eastAsia="Arial" w:hAnsi="Arial"/>
                <w:sz w:val="11"/>
                <w:szCs w:val="11"/>
                <w:b w:val="1"/>
                <w:bCs w:val="1"/>
                <w:color w:val="auto"/>
                <w:w w:val="91"/>
              </w:rPr>
              <w:t>Incorporation or Organization)</w:t>
            </w:r>
          </w:p>
        </w:tc>
        <w:tc>
          <w:tcPr>
            <w:tcW w:w="1320" w:type="dxa"/>
            <w:vAlign w:val="bottom"/>
          </w:tcPr>
          <w:p>
            <w:pPr>
              <w:jc w:val="center"/>
              <w:ind w:left="415"/>
              <w:spacing w:after="0"/>
              <w:rPr>
                <w:sz w:val="20"/>
                <w:szCs w:val="20"/>
                <w:color w:val="auto"/>
              </w:rPr>
            </w:pPr>
            <w:r>
              <w:rPr>
                <w:rFonts w:ascii="Arial" w:cs="Arial" w:eastAsia="Arial" w:hAnsi="Arial"/>
                <w:sz w:val="11"/>
                <w:szCs w:val="11"/>
                <w:b w:val="1"/>
                <w:bCs w:val="1"/>
                <w:color w:val="auto"/>
                <w:w w:val="90"/>
              </w:rPr>
              <w:t>Identification No.)</w:t>
            </w:r>
          </w:p>
        </w:tc>
      </w:tr>
      <w:tr>
        <w:trPr>
          <w:trHeight w:val="305"/>
        </w:trPr>
        <w:tc>
          <w:tcPr>
            <w:tcW w:w="6200" w:type="dxa"/>
            <w:vAlign w:val="bottom"/>
          </w:tcPr>
          <w:p>
            <w:pPr>
              <w:jc w:val="center"/>
              <w:ind w:right="2314"/>
              <w:spacing w:after="0"/>
              <w:rPr>
                <w:sz w:val="20"/>
                <w:szCs w:val="20"/>
                <w:color w:val="auto"/>
              </w:rPr>
            </w:pPr>
            <w:r>
              <w:rPr>
                <w:rFonts w:ascii="Arial" w:cs="Arial" w:eastAsia="Arial" w:hAnsi="Arial"/>
                <w:sz w:val="16"/>
                <w:szCs w:val="16"/>
                <w:b w:val="1"/>
                <w:bCs w:val="1"/>
                <w:color w:val="auto"/>
                <w:w w:val="93"/>
              </w:rPr>
              <w:t>910 Clopper Road Suite 201S, Gaithersburg, Maryland</w:t>
            </w:r>
          </w:p>
        </w:tc>
        <w:tc>
          <w:tcPr>
            <w:tcW w:w="1320" w:type="dxa"/>
            <w:vAlign w:val="bottom"/>
          </w:tcPr>
          <w:p>
            <w:pPr>
              <w:jc w:val="right"/>
              <w:ind w:right="155"/>
              <w:spacing w:after="0"/>
              <w:rPr>
                <w:sz w:val="20"/>
                <w:szCs w:val="20"/>
                <w:color w:val="auto"/>
              </w:rPr>
            </w:pPr>
            <w:r>
              <w:rPr>
                <w:rFonts w:ascii="Arial" w:cs="Arial" w:eastAsia="Arial" w:hAnsi="Arial"/>
                <w:sz w:val="16"/>
                <w:szCs w:val="16"/>
                <w:b w:val="1"/>
                <w:bCs w:val="1"/>
                <w:color w:val="auto"/>
              </w:rPr>
              <w:t>20878</w:t>
            </w:r>
          </w:p>
        </w:tc>
      </w:tr>
      <w:tr>
        <w:trPr>
          <w:trHeight w:val="140"/>
        </w:trPr>
        <w:tc>
          <w:tcPr>
            <w:tcW w:w="6200" w:type="dxa"/>
            <w:vAlign w:val="bottom"/>
          </w:tcPr>
          <w:p>
            <w:pPr>
              <w:jc w:val="center"/>
              <w:ind w:right="2314"/>
              <w:spacing w:after="0"/>
              <w:rPr>
                <w:sz w:val="20"/>
                <w:szCs w:val="20"/>
                <w:color w:val="auto"/>
              </w:rPr>
            </w:pPr>
            <w:r>
              <w:rPr>
                <w:rFonts w:ascii="Arial" w:cs="Arial" w:eastAsia="Arial" w:hAnsi="Arial"/>
                <w:sz w:val="11"/>
                <w:szCs w:val="11"/>
                <w:b w:val="1"/>
                <w:bCs w:val="1"/>
                <w:color w:val="auto"/>
                <w:w w:val="88"/>
              </w:rPr>
              <w:t>(Address of Principal Executive Offices)</w:t>
            </w:r>
          </w:p>
        </w:tc>
        <w:tc>
          <w:tcPr>
            <w:tcW w:w="1320" w:type="dxa"/>
            <w:vAlign w:val="bottom"/>
          </w:tcPr>
          <w:p>
            <w:pPr>
              <w:jc w:val="center"/>
              <w:ind w:left="395"/>
              <w:spacing w:after="0"/>
              <w:rPr>
                <w:sz w:val="20"/>
                <w:szCs w:val="20"/>
                <w:color w:val="auto"/>
              </w:rPr>
            </w:pPr>
            <w:r>
              <w:rPr>
                <w:rFonts w:ascii="Arial" w:cs="Arial" w:eastAsia="Arial" w:hAnsi="Arial"/>
                <w:sz w:val="11"/>
                <w:szCs w:val="11"/>
                <w:b w:val="1"/>
                <w:bCs w:val="1"/>
                <w:color w:val="auto"/>
                <w:w w:val="91"/>
              </w:rPr>
              <w:t>(Zip Code)</w:t>
            </w:r>
          </w:p>
        </w:tc>
      </w:tr>
      <w:tr>
        <w:trPr>
          <w:trHeight w:val="265"/>
        </w:trPr>
        <w:tc>
          <w:tcPr>
            <w:tcW w:w="6200" w:type="dxa"/>
            <w:vAlign w:val="bottom"/>
          </w:tcPr>
          <w:p>
            <w:pPr>
              <w:jc w:val="right"/>
              <w:ind w:right="1154"/>
              <w:spacing w:after="0"/>
              <w:rPr>
                <w:sz w:val="20"/>
                <w:szCs w:val="20"/>
                <w:color w:val="auto"/>
              </w:rPr>
            </w:pPr>
            <w:r>
              <w:rPr>
                <w:rFonts w:ascii="Arial" w:cs="Arial" w:eastAsia="Arial" w:hAnsi="Arial"/>
                <w:sz w:val="16"/>
                <w:szCs w:val="16"/>
                <w:b w:val="1"/>
                <w:bCs w:val="1"/>
                <w:color w:val="auto"/>
              </w:rPr>
              <w:t>(240) 654-1450</w:t>
            </w:r>
          </w:p>
        </w:tc>
        <w:tc>
          <w:tcPr>
            <w:tcW w:w="1320" w:type="dxa"/>
            <w:vAlign w:val="bottom"/>
          </w:tcPr>
          <w:p>
            <w:pPr>
              <w:spacing w:after="0"/>
              <w:rPr>
                <w:sz w:val="23"/>
                <w:szCs w:val="23"/>
                <w:color w:val="auto"/>
              </w:rPr>
            </w:pPr>
          </w:p>
        </w:tc>
      </w:tr>
      <w:tr>
        <w:trPr>
          <w:trHeight w:val="140"/>
        </w:trPr>
        <w:tc>
          <w:tcPr>
            <w:tcW w:w="6200" w:type="dxa"/>
            <w:vAlign w:val="bottom"/>
          </w:tcPr>
          <w:p>
            <w:pPr>
              <w:jc w:val="center"/>
              <w:ind w:left="2674"/>
              <w:spacing w:after="0"/>
              <w:rPr>
                <w:sz w:val="20"/>
                <w:szCs w:val="20"/>
                <w:color w:val="auto"/>
              </w:rPr>
            </w:pPr>
            <w:r>
              <w:rPr>
                <w:rFonts w:ascii="Arial" w:cs="Arial" w:eastAsia="Arial" w:hAnsi="Arial"/>
                <w:sz w:val="11"/>
                <w:szCs w:val="11"/>
                <w:b w:val="1"/>
                <w:bCs w:val="1"/>
                <w:color w:val="auto"/>
                <w:w w:val="88"/>
              </w:rPr>
              <w:t>(Registrant’s Telephone Number, Including Area Code)</w:t>
            </w:r>
          </w:p>
        </w:tc>
        <w:tc>
          <w:tcPr>
            <w:tcW w:w="1320" w:type="dxa"/>
            <w:vAlign w:val="bottom"/>
          </w:tcPr>
          <w:p>
            <w:pPr>
              <w:spacing w:after="0"/>
              <w:rPr>
                <w:sz w:val="12"/>
                <w:szCs w:val="12"/>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57150</wp:posOffset>
            </wp:positionV>
            <wp:extent cx="162877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150"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07" w:lineRule="exact"/>
        <w:rPr>
          <w:sz w:val="24"/>
          <w:szCs w:val="24"/>
          <w:color w:val="auto"/>
        </w:rPr>
      </w:pPr>
    </w:p>
    <w:tbl>
      <w:tblPr>
        <w:tblLayout w:type="fixed"/>
        <w:tblInd w:w="1040" w:type="dxa"/>
        <w:tblCellMar>
          <w:top w:w="0" w:type="dxa"/>
          <w:left w:w="0" w:type="dxa"/>
          <w:bottom w:w="0" w:type="dxa"/>
          <w:right w:w="0" w:type="dxa"/>
        </w:tblCellMar>
      </w:tblPr>
      <w:tr>
        <w:trPr>
          <w:trHeight w:val="218"/>
        </w:trPr>
        <w:tc>
          <w:tcPr>
            <w:tcW w:w="31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i w:val="1"/>
                <w:iCs w:val="1"/>
                <w:color w:val="auto"/>
                <w:w w:val="92"/>
              </w:rPr>
              <w:t>Title of each class</w:t>
            </w:r>
          </w:p>
        </w:tc>
        <w:tc>
          <w:tcPr>
            <w:tcW w:w="1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i w:val="1"/>
                <w:iCs w:val="1"/>
                <w:color w:val="auto"/>
                <w:w w:val="94"/>
              </w:rPr>
              <w:t>Trading Symbol(s)</w:t>
            </w:r>
          </w:p>
        </w:tc>
        <w:tc>
          <w:tcPr>
            <w:tcW w:w="3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i w:val="1"/>
                <w:iCs w:val="1"/>
                <w:color w:val="auto"/>
                <w:w w:val="91"/>
              </w:rPr>
              <w:t>Name of each exchange on which registered</w:t>
            </w:r>
          </w:p>
        </w:tc>
      </w:tr>
      <w:tr>
        <w:trPr>
          <w:trHeight w:val="39"/>
        </w:trPr>
        <w:tc>
          <w:tcPr>
            <w:tcW w:w="3100" w:type="dxa"/>
            <w:vAlign w:val="bottom"/>
            <w:tcBorders>
              <w:left w:val="single" w:sz="8" w:color="auto"/>
              <w:bottom w:val="single" w:sz="8" w:color="auto"/>
              <w:right w:val="single" w:sz="8" w:color="auto"/>
            </w:tcBorders>
          </w:tcPr>
          <w:p>
            <w:pPr>
              <w:spacing w:after="0"/>
              <w:rPr>
                <w:sz w:val="3"/>
                <w:szCs w:val="3"/>
                <w:color w:val="auto"/>
              </w:rPr>
            </w:pPr>
          </w:p>
        </w:tc>
        <w:tc>
          <w:tcPr>
            <w:tcW w:w="1980" w:type="dxa"/>
            <w:vAlign w:val="bottom"/>
            <w:tcBorders>
              <w:bottom w:val="single" w:sz="8" w:color="auto"/>
              <w:right w:val="single" w:sz="8" w:color="auto"/>
            </w:tcBorders>
          </w:tcPr>
          <w:p>
            <w:pPr>
              <w:spacing w:after="0"/>
              <w:rPr>
                <w:sz w:val="3"/>
                <w:szCs w:val="3"/>
                <w:color w:val="auto"/>
              </w:rPr>
            </w:pPr>
          </w:p>
        </w:tc>
        <w:tc>
          <w:tcPr>
            <w:tcW w:w="3120" w:type="dxa"/>
            <w:vAlign w:val="bottom"/>
            <w:tcBorders>
              <w:bottom w:val="single" w:sz="8" w:color="auto"/>
              <w:right w:val="single" w:sz="8" w:color="auto"/>
            </w:tcBorders>
          </w:tcPr>
          <w:p>
            <w:pPr>
              <w:spacing w:after="0"/>
              <w:rPr>
                <w:sz w:val="3"/>
                <w:szCs w:val="3"/>
                <w:color w:val="auto"/>
              </w:rPr>
            </w:pPr>
          </w:p>
        </w:tc>
      </w:tr>
      <w:tr>
        <w:trPr>
          <w:trHeight w:val="203"/>
        </w:trPr>
        <w:tc>
          <w:tcPr>
            <w:tcW w:w="3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Common stock, par value $0.0001 per share</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ALT</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5"/>
              </w:rPr>
              <w:t>The NASDAQ Global Market</w:t>
            </w:r>
          </w:p>
        </w:tc>
      </w:tr>
      <w:tr>
        <w:trPr>
          <w:trHeight w:val="33"/>
        </w:trPr>
        <w:tc>
          <w:tcPr>
            <w:tcW w:w="3100" w:type="dxa"/>
            <w:vAlign w:val="bottom"/>
            <w:tcBorders>
              <w:left w:val="single" w:sz="8" w:color="auto"/>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bl>
    <w:p>
      <w:pPr>
        <w:spacing w:after="0" w:line="71" w:lineRule="exact"/>
        <w:rPr>
          <w:sz w:val="24"/>
          <w:szCs w:val="24"/>
          <w:color w:val="auto"/>
        </w:rPr>
      </w:pPr>
    </w:p>
    <w:p>
      <w:pPr>
        <w:ind w:left="10" w:right="160" w:firstLine="441"/>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 </w:t>
      </w:r>
      <w:r>
        <w:rPr>
          <w:rFonts w:ascii="Arial Unicode MS" w:cs="Arial Unicode MS" w:eastAsia="Arial Unicode MS" w:hAnsi="Arial Unicode MS"/>
          <w:sz w:val="16"/>
          <w:szCs w:val="16"/>
          <w:color w:val="auto"/>
        </w:rPr>
        <w:t>☐</w:t>
      </w:r>
    </w:p>
    <w:p>
      <w:pPr>
        <w:spacing w:after="0" w:line="74" w:lineRule="exact"/>
        <w:rPr>
          <w:sz w:val="24"/>
          <w:szCs w:val="24"/>
          <w:color w:val="auto"/>
        </w:rPr>
      </w:pPr>
    </w:p>
    <w:p>
      <w:pPr>
        <w:ind w:left="10" w:firstLine="441"/>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 </w:t>
      </w:r>
      <w:r>
        <w:rPr>
          <w:rFonts w:ascii="Arial Unicode MS" w:cs="Arial Unicode MS" w:eastAsia="Arial Unicode MS" w:hAnsi="Arial Unicode MS"/>
          <w:sz w:val="16"/>
          <w:szCs w:val="16"/>
          <w:color w:val="auto"/>
        </w:rPr>
        <w:t>☐</w:t>
      </w:r>
    </w:p>
    <w:p>
      <w:pPr>
        <w:spacing w:after="0" w:line="74" w:lineRule="exact"/>
        <w:rPr>
          <w:sz w:val="24"/>
          <w:szCs w:val="24"/>
          <w:color w:val="auto"/>
        </w:rPr>
      </w:pPr>
    </w:p>
    <w:p>
      <w:pPr>
        <w:ind w:left="10" w:right="80" w:firstLine="441"/>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81" w:lineRule="exact"/>
        <w:rPr>
          <w:sz w:val="24"/>
          <w:szCs w:val="24"/>
          <w:color w:val="auto"/>
        </w:rPr>
      </w:pPr>
    </w:p>
    <w:tbl>
      <w:tblPr>
        <w:tblLayout w:type="fixed"/>
        <w:tblInd w:w="10" w:type="dxa"/>
        <w:tblCellMar>
          <w:top w:w="0" w:type="dxa"/>
          <w:left w:w="0" w:type="dxa"/>
          <w:bottom w:w="0" w:type="dxa"/>
          <w:right w:w="0" w:type="dxa"/>
        </w:tblCellMar>
      </w:tblPr>
      <w:tr>
        <w:trPr>
          <w:trHeight w:val="216"/>
        </w:trPr>
        <w:tc>
          <w:tcPr>
            <w:tcW w:w="20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980" w:type="dxa"/>
            <w:vAlign w:val="bottom"/>
          </w:tcPr>
          <w:p>
            <w:pPr>
              <w:ind w:left="560"/>
              <w:spacing w:after="0" w:line="215" w:lineRule="exact"/>
              <w:rPr>
                <w:sz w:val="20"/>
                <w:szCs w:val="20"/>
                <w:color w:val="auto"/>
              </w:rPr>
            </w:pPr>
            <w:r>
              <w:rPr>
                <w:rFonts w:ascii="Arial Unicode MS" w:cs="Arial Unicode MS" w:eastAsia="Arial Unicode MS" w:hAnsi="Arial Unicode MS"/>
                <w:sz w:val="16"/>
                <w:szCs w:val="16"/>
                <w:color w:val="auto"/>
              </w:rPr>
              <w:t>☐</w:t>
            </w:r>
          </w:p>
        </w:tc>
        <w:tc>
          <w:tcPr>
            <w:tcW w:w="4500" w:type="dxa"/>
            <w:vAlign w:val="bottom"/>
          </w:tcPr>
          <w:p>
            <w:pPr>
              <w:ind w:left="2260"/>
              <w:spacing w:after="0"/>
              <w:rPr>
                <w:sz w:val="20"/>
                <w:szCs w:val="20"/>
                <w:color w:val="auto"/>
              </w:rPr>
            </w:pPr>
            <w:r>
              <w:rPr>
                <w:rFonts w:ascii="Arial" w:cs="Arial" w:eastAsia="Arial" w:hAnsi="Arial"/>
                <w:sz w:val="16"/>
                <w:szCs w:val="16"/>
                <w:color w:val="auto"/>
              </w:rPr>
              <w:t>Accelerated filer</w:t>
            </w:r>
          </w:p>
        </w:tc>
        <w:tc>
          <w:tcPr>
            <w:tcW w:w="680" w:type="dxa"/>
            <w:vAlign w:val="bottom"/>
          </w:tcPr>
          <w:p>
            <w:pPr>
              <w:ind w:left="500"/>
              <w:spacing w:after="0" w:line="215" w:lineRule="exact"/>
              <w:rPr>
                <w:sz w:val="20"/>
                <w:szCs w:val="20"/>
                <w:color w:val="auto"/>
              </w:rPr>
            </w:pPr>
            <w:r>
              <w:rPr>
                <w:rFonts w:ascii="Arial Unicode MS" w:cs="Arial Unicode MS" w:eastAsia="Arial Unicode MS" w:hAnsi="Arial Unicode MS"/>
                <w:sz w:val="16"/>
                <w:szCs w:val="16"/>
                <w:color w:val="auto"/>
              </w:rPr>
              <w:t>☐</w:t>
            </w:r>
          </w:p>
        </w:tc>
      </w:tr>
      <w:tr>
        <w:trPr>
          <w:trHeight w:val="216"/>
        </w:trPr>
        <w:tc>
          <w:tcPr>
            <w:tcW w:w="2000" w:type="dxa"/>
            <w:vAlign w:val="bottom"/>
          </w:tcPr>
          <w:p>
            <w:pPr>
              <w:spacing w:after="0"/>
              <w:rPr>
                <w:sz w:val="20"/>
                <w:szCs w:val="20"/>
                <w:color w:val="auto"/>
              </w:rPr>
            </w:pPr>
            <w:r>
              <w:rPr>
                <w:rFonts w:ascii="Arial" w:cs="Arial" w:eastAsia="Arial" w:hAnsi="Arial"/>
                <w:sz w:val="16"/>
                <w:szCs w:val="16"/>
                <w:color w:val="auto"/>
              </w:rPr>
              <w:t>Non-accelerated filer</w:t>
            </w:r>
          </w:p>
        </w:tc>
        <w:tc>
          <w:tcPr>
            <w:tcW w:w="2980" w:type="dxa"/>
            <w:vAlign w:val="bottom"/>
          </w:tcPr>
          <w:p>
            <w:pPr>
              <w:ind w:left="560"/>
              <w:spacing w:after="0" w:line="215" w:lineRule="exact"/>
              <w:rPr>
                <w:sz w:val="20"/>
                <w:szCs w:val="20"/>
                <w:color w:val="auto"/>
              </w:rPr>
            </w:pPr>
            <w:r>
              <w:rPr>
                <w:rFonts w:ascii="Arial Unicode MS" w:cs="Arial Unicode MS" w:eastAsia="Arial Unicode MS" w:hAnsi="Arial Unicode MS"/>
                <w:sz w:val="16"/>
                <w:szCs w:val="16"/>
                <w:color w:val="auto"/>
              </w:rPr>
              <w:t>⌧</w:t>
            </w:r>
          </w:p>
        </w:tc>
        <w:tc>
          <w:tcPr>
            <w:tcW w:w="4500" w:type="dxa"/>
            <w:vAlign w:val="bottom"/>
          </w:tcPr>
          <w:p>
            <w:pPr>
              <w:ind w:left="2260"/>
              <w:spacing w:after="0"/>
              <w:rPr>
                <w:sz w:val="20"/>
                <w:szCs w:val="20"/>
                <w:color w:val="auto"/>
              </w:rPr>
            </w:pPr>
            <w:r>
              <w:rPr>
                <w:rFonts w:ascii="Arial" w:cs="Arial" w:eastAsia="Arial" w:hAnsi="Arial"/>
                <w:sz w:val="16"/>
                <w:szCs w:val="16"/>
                <w:color w:val="auto"/>
              </w:rPr>
              <w:t>Smaller reporting company</w:t>
            </w:r>
          </w:p>
        </w:tc>
        <w:tc>
          <w:tcPr>
            <w:tcW w:w="680" w:type="dxa"/>
            <w:vAlign w:val="bottom"/>
          </w:tcPr>
          <w:p>
            <w:pPr>
              <w:ind w:left="500"/>
              <w:spacing w:after="0" w:line="215" w:lineRule="exact"/>
              <w:rPr>
                <w:sz w:val="20"/>
                <w:szCs w:val="20"/>
                <w:color w:val="auto"/>
              </w:rPr>
            </w:pPr>
            <w:r>
              <w:rPr>
                <w:rFonts w:ascii="Arial Unicode MS" w:cs="Arial Unicode MS" w:eastAsia="Arial Unicode MS" w:hAnsi="Arial Unicode MS"/>
                <w:sz w:val="16"/>
                <w:szCs w:val="16"/>
                <w:color w:val="auto"/>
                <w:w w:val="99"/>
              </w:rPr>
              <w:t>⌧</w:t>
            </w:r>
          </w:p>
        </w:tc>
      </w:tr>
      <w:tr>
        <w:trPr>
          <w:trHeight w:val="254"/>
        </w:trPr>
        <w:tc>
          <w:tcPr>
            <w:tcW w:w="2000" w:type="dxa"/>
            <w:vAlign w:val="bottom"/>
          </w:tcPr>
          <w:p>
            <w:pPr>
              <w:spacing w:after="0"/>
              <w:rPr>
                <w:sz w:val="22"/>
                <w:szCs w:val="22"/>
                <w:color w:val="auto"/>
              </w:rPr>
            </w:pPr>
          </w:p>
        </w:tc>
        <w:tc>
          <w:tcPr>
            <w:tcW w:w="2980" w:type="dxa"/>
            <w:vAlign w:val="bottom"/>
          </w:tcPr>
          <w:p>
            <w:pPr>
              <w:spacing w:after="0"/>
              <w:rPr>
                <w:sz w:val="22"/>
                <w:szCs w:val="22"/>
                <w:color w:val="auto"/>
              </w:rPr>
            </w:pPr>
          </w:p>
        </w:tc>
        <w:tc>
          <w:tcPr>
            <w:tcW w:w="4500" w:type="dxa"/>
            <w:vAlign w:val="bottom"/>
          </w:tcPr>
          <w:p>
            <w:pPr>
              <w:ind w:left="2260"/>
              <w:spacing w:after="0"/>
              <w:rPr>
                <w:sz w:val="20"/>
                <w:szCs w:val="20"/>
                <w:color w:val="auto"/>
              </w:rPr>
            </w:pPr>
            <w:r>
              <w:rPr>
                <w:rFonts w:ascii="Arial" w:cs="Arial" w:eastAsia="Arial" w:hAnsi="Arial"/>
                <w:sz w:val="16"/>
                <w:szCs w:val="16"/>
                <w:color w:val="auto"/>
              </w:rPr>
              <w:t>Emerging growth company</w:t>
            </w:r>
          </w:p>
        </w:tc>
        <w:tc>
          <w:tcPr>
            <w:tcW w:w="680" w:type="dxa"/>
            <w:vAlign w:val="bottom"/>
          </w:tcPr>
          <w:p>
            <w:pPr>
              <w:ind w:left="500"/>
              <w:spacing w:after="0" w:line="215" w:lineRule="exact"/>
              <w:rPr>
                <w:sz w:val="20"/>
                <w:szCs w:val="20"/>
                <w:color w:val="auto"/>
              </w:rPr>
            </w:pPr>
            <w:r>
              <w:rPr>
                <w:rFonts w:ascii="Arial Unicode MS" w:cs="Arial Unicode MS" w:eastAsia="Arial Unicode MS" w:hAnsi="Arial Unicode MS"/>
                <w:sz w:val="16"/>
                <w:szCs w:val="16"/>
                <w:color w:val="auto"/>
              </w:rPr>
              <w:t>☐</w:t>
            </w:r>
          </w:p>
        </w:tc>
      </w:tr>
    </w:tbl>
    <w:p>
      <w:pPr>
        <w:spacing w:after="0" w:line="181" w:lineRule="exact"/>
        <w:rPr>
          <w:sz w:val="24"/>
          <w:szCs w:val="24"/>
          <w:color w:val="auto"/>
        </w:rPr>
      </w:pPr>
    </w:p>
    <w:p>
      <w:pPr>
        <w:ind w:left="10" w:right="140" w:firstLine="441"/>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6"/>
          <w:szCs w:val="16"/>
          <w:color w:val="auto"/>
        </w:rPr>
        <w:t>☐</w:t>
      </w:r>
    </w:p>
    <w:p>
      <w:pPr>
        <w:spacing w:after="0" w:line="29" w:lineRule="exact"/>
        <w:rPr>
          <w:sz w:val="24"/>
          <w:szCs w:val="24"/>
          <w:color w:val="auto"/>
        </w:rPr>
      </w:pPr>
    </w:p>
    <w:p>
      <w:pPr>
        <w:ind w:left="450"/>
        <w:spacing w:after="0" w:line="215" w:lineRule="exact"/>
        <w:tabs>
          <w:tab w:leader="none" w:pos="785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ab/>
        <w:t xml:space="preserve">No </w:t>
      </w:r>
      <w:r>
        <w:rPr>
          <w:rFonts w:ascii="Arial Unicode MS" w:cs="Arial Unicode MS" w:eastAsia="Arial Unicode MS" w:hAnsi="Arial Unicode MS"/>
          <w:sz w:val="16"/>
          <w:szCs w:val="16"/>
          <w:color w:val="auto"/>
        </w:rPr>
        <w:t>⌧</w:t>
      </w:r>
    </w:p>
    <w:p>
      <w:pPr>
        <w:spacing w:after="0" w:line="113" w:lineRule="exact"/>
        <w:rPr>
          <w:sz w:val="24"/>
          <w:szCs w:val="24"/>
          <w:color w:val="auto"/>
        </w:rPr>
      </w:pPr>
    </w:p>
    <w:p>
      <w:pPr>
        <w:ind w:left="450"/>
        <w:spacing w:after="0"/>
        <w:rPr>
          <w:sz w:val="20"/>
          <w:szCs w:val="20"/>
          <w:color w:val="auto"/>
        </w:rPr>
      </w:pPr>
      <w:r>
        <w:rPr>
          <w:rFonts w:ascii="Arial" w:cs="Arial" w:eastAsia="Arial" w:hAnsi="Arial"/>
          <w:sz w:val="16"/>
          <w:szCs w:val="16"/>
          <w:color w:val="auto"/>
        </w:rPr>
        <w:t>As of November 4, 2022, there were 49,159,056 shares of the registrant’s common stock, par value $0.0001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489585</wp:posOffset>
            </wp:positionV>
            <wp:extent cx="649795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78105</wp:posOffset>
            </wp:positionV>
            <wp:extent cx="64979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112395</wp:posOffset>
            </wp:positionV>
            <wp:extent cx="649795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30"/>
          </w:cols>
          <w:pgMar w:left="830" w:top="665" w:right="839" w:bottom="1440" w:gutter="0" w:footer="0" w:header="0"/>
        </w:sectPr>
      </w:pPr>
    </w:p>
    <w:bookmarkStart w:id="1" w:name="page2"/>
    <w:bookmarkEnd w:id="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ALTIMMUNE,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ind w:left="1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160" w:type="dxa"/>
            <w:vAlign w:val="bottom"/>
            <w:gridSpan w:val="27"/>
          </w:tcPr>
          <w:p>
            <w:pPr>
              <w:spacing w:after="0"/>
              <w:rPr>
                <w:sz w:val="20"/>
                <w:szCs w:val="20"/>
                <w:color w:val="auto"/>
              </w:rPr>
            </w:pPr>
            <w:r>
              <w:rPr>
                <w:rFonts w:ascii="Arial" w:cs="Arial" w:eastAsia="Arial" w:hAnsi="Arial"/>
                <w:sz w:val="18"/>
                <w:szCs w:val="18"/>
                <w:b w:val="1"/>
                <w:bCs w:val="1"/>
                <w:color w:val="0000EE"/>
              </w:rPr>
              <w:t>PART I. FINANCIAL INFORMATION</w:t>
            </w:r>
          </w:p>
        </w:tc>
        <w:tc>
          <w:tcPr>
            <w:tcW w:w="5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70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0000EE"/>
              </w:rPr>
              <w:t>Item 1.</w:t>
            </w:r>
          </w:p>
        </w:tc>
        <w:tc>
          <w:tcPr>
            <w:tcW w:w="2360" w:type="dxa"/>
            <w:vAlign w:val="bottom"/>
            <w:tcBorders>
              <w:top w:val="single" w:sz="8" w:color="0000EE"/>
            </w:tcBorders>
            <w:gridSpan w:val="12"/>
          </w:tcPr>
          <w:p>
            <w:pPr>
              <w:spacing w:after="0"/>
              <w:rPr>
                <w:sz w:val="20"/>
                <w:szCs w:val="20"/>
                <w:color w:val="auto"/>
              </w:rPr>
            </w:pPr>
            <w:r>
              <w:rPr>
                <w:rFonts w:ascii="Arial" w:cs="Arial" w:eastAsia="Arial" w:hAnsi="Arial"/>
                <w:sz w:val="18"/>
                <w:szCs w:val="18"/>
                <w:color w:val="0000EE"/>
              </w:rPr>
              <w:t>Financial Statements</w:t>
            </w:r>
          </w:p>
        </w:tc>
        <w:tc>
          <w:tcPr>
            <w:tcW w:w="5100" w:type="dxa"/>
            <w:vAlign w:val="bottom"/>
            <w:gridSpan w:val="11"/>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0" w:type="dxa"/>
            <w:vAlign w:val="bottom"/>
            <w:gridSpan w:val="22"/>
          </w:tcPr>
          <w:p>
            <w:pPr>
              <w:spacing w:after="0"/>
              <w:rPr>
                <w:sz w:val="20"/>
                <w:szCs w:val="20"/>
                <w:color w:val="auto"/>
              </w:rPr>
            </w:pPr>
            <w:r>
              <w:rPr>
                <w:rFonts w:ascii="Arial" w:cs="Arial" w:eastAsia="Arial" w:hAnsi="Arial"/>
                <w:sz w:val="18"/>
                <w:szCs w:val="18"/>
                <w:color w:val="0000EE"/>
                <w:w w:val="96"/>
              </w:rPr>
              <w:t>Consolidated Balance Sheets as of September 30, 2022 (unaudited) and December 31, 2021</w:t>
            </w: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40" w:type="dxa"/>
            <w:vAlign w:val="bottom"/>
            <w:tcBorders>
              <w:bottom w:val="single" w:sz="8" w:color="0000EE"/>
            </w:tcBorders>
            <w:gridSpan w:val="19"/>
          </w:tcPr>
          <w:p>
            <w:pPr>
              <w:spacing w:after="0"/>
              <w:rPr>
                <w:sz w:val="20"/>
                <w:szCs w:val="20"/>
                <w:color w:val="auto"/>
              </w:rPr>
            </w:pPr>
            <w:r>
              <w:rPr>
                <w:rFonts w:ascii="Arial" w:cs="Arial" w:eastAsia="Arial" w:hAnsi="Arial"/>
                <w:sz w:val="18"/>
                <w:szCs w:val="18"/>
                <w:color w:val="0000EE"/>
                <w:w w:val="89"/>
              </w:rPr>
              <w:t>Consolidated Statements of Operations and Comprehensive Loss for the three and nine months</w:t>
            </w:r>
          </w:p>
        </w:tc>
        <w:tc>
          <w:tcPr>
            <w:tcW w:w="360" w:type="dxa"/>
            <w:vAlign w:val="bottom"/>
            <w:gridSpan w:val="3"/>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0" w:type="dxa"/>
            <w:vAlign w:val="bottom"/>
            <w:gridSpan w:val="22"/>
          </w:tcPr>
          <w:p>
            <w:pPr>
              <w:spacing w:after="0" w:line="196" w:lineRule="exact"/>
              <w:rPr>
                <w:sz w:val="20"/>
                <w:szCs w:val="20"/>
                <w:color w:val="auto"/>
              </w:rPr>
            </w:pPr>
            <w:r>
              <w:rPr>
                <w:rFonts w:ascii="Arial" w:cs="Arial" w:eastAsia="Arial" w:hAnsi="Arial"/>
                <w:sz w:val="18"/>
                <w:szCs w:val="18"/>
                <w:color w:val="0000EE"/>
              </w:rPr>
              <w:t>ended September 30, 2022 and 2021 (unaudited)</w:t>
            </w: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40" w:type="dxa"/>
            <w:vAlign w:val="bottom"/>
            <w:tcBorders>
              <w:bottom w:val="single" w:sz="8" w:color="0000EE"/>
            </w:tcBorders>
            <w:gridSpan w:val="21"/>
          </w:tcPr>
          <w:p>
            <w:pPr>
              <w:spacing w:after="0"/>
              <w:rPr>
                <w:sz w:val="20"/>
                <w:szCs w:val="20"/>
                <w:color w:val="auto"/>
              </w:rPr>
            </w:pPr>
            <w:r>
              <w:rPr>
                <w:rFonts w:ascii="Arial" w:cs="Arial" w:eastAsia="Arial" w:hAnsi="Arial"/>
                <w:sz w:val="18"/>
                <w:szCs w:val="18"/>
                <w:color w:val="0000EE"/>
                <w:w w:val="89"/>
              </w:rPr>
              <w:t>Consolidated Statements of Changes in Stockholders’ Equity for the three and nine months ended</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0" w:type="dxa"/>
            <w:vAlign w:val="bottom"/>
            <w:gridSpan w:val="22"/>
          </w:tcPr>
          <w:p>
            <w:pPr>
              <w:spacing w:after="0" w:line="196" w:lineRule="exact"/>
              <w:rPr>
                <w:sz w:val="20"/>
                <w:szCs w:val="20"/>
                <w:color w:val="auto"/>
              </w:rPr>
            </w:pPr>
            <w:r>
              <w:rPr>
                <w:rFonts w:ascii="Arial" w:cs="Arial" w:eastAsia="Arial" w:hAnsi="Arial"/>
                <w:sz w:val="18"/>
                <w:szCs w:val="18"/>
                <w:color w:val="0000EE"/>
              </w:rPr>
              <w:t>September 30, 2022 and 2021 (unaudited)</w:t>
            </w: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0" w:type="dxa"/>
            <w:vAlign w:val="bottom"/>
            <w:tcBorders>
              <w:bottom w:val="single" w:sz="8" w:color="0000EE"/>
            </w:tcBorders>
            <w:gridSpan w:val="20"/>
          </w:tcPr>
          <w:p>
            <w:pPr>
              <w:spacing w:after="0"/>
              <w:rPr>
                <w:sz w:val="20"/>
                <w:szCs w:val="20"/>
                <w:color w:val="auto"/>
              </w:rPr>
            </w:pPr>
            <w:r>
              <w:rPr>
                <w:rFonts w:ascii="Arial" w:cs="Arial" w:eastAsia="Arial" w:hAnsi="Arial"/>
                <w:sz w:val="18"/>
                <w:szCs w:val="18"/>
                <w:color w:val="0000EE"/>
                <w:w w:val="89"/>
              </w:rPr>
              <w:t>Consolidated Statements of Cash Flows for the nine months ended September 30, 2022 and 2021</w:t>
            </w:r>
          </w:p>
        </w:tc>
        <w:tc>
          <w:tcPr>
            <w:tcW w:w="200" w:type="dxa"/>
            <w:vAlign w:val="bottom"/>
            <w:gridSpan w:val="2"/>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0" w:type="dxa"/>
            <w:vAlign w:val="bottom"/>
            <w:gridSpan w:val="22"/>
          </w:tcPr>
          <w:p>
            <w:pPr>
              <w:spacing w:after="0" w:line="196" w:lineRule="exact"/>
              <w:rPr>
                <w:sz w:val="20"/>
                <w:szCs w:val="20"/>
                <w:color w:val="auto"/>
              </w:rPr>
            </w:pPr>
            <w:r>
              <w:rPr>
                <w:rFonts w:ascii="Arial" w:cs="Arial" w:eastAsia="Arial" w:hAnsi="Arial"/>
                <w:sz w:val="18"/>
                <w:szCs w:val="18"/>
                <w:color w:val="0000EE"/>
              </w:rPr>
              <w:t>(unaudited)</w:t>
            </w: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0" w:type="dxa"/>
            <w:vAlign w:val="bottom"/>
            <w:gridSpan w:val="22"/>
          </w:tcPr>
          <w:p>
            <w:pPr>
              <w:spacing w:after="0"/>
              <w:rPr>
                <w:sz w:val="20"/>
                <w:szCs w:val="20"/>
                <w:color w:val="auto"/>
              </w:rPr>
            </w:pPr>
            <w:r>
              <w:rPr>
                <w:rFonts w:ascii="Arial" w:cs="Arial" w:eastAsia="Arial" w:hAnsi="Arial"/>
                <w:sz w:val="18"/>
                <w:szCs w:val="18"/>
                <w:color w:val="0000EE"/>
              </w:rPr>
              <w:t>Notes to Consolidated Financial Statements (unaudited)</w:t>
            </w:r>
          </w:p>
        </w:tc>
        <w:tc>
          <w:tcPr>
            <w:tcW w:w="52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96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52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0"/>
              </w:rPr>
              <w:t>Item 2.</w:t>
            </w:r>
          </w:p>
        </w:tc>
        <w:tc>
          <w:tcPr>
            <w:tcW w:w="180" w:type="dxa"/>
            <w:vAlign w:val="bottom"/>
            <w:gridSpan w:val="2"/>
          </w:tcPr>
          <w:p>
            <w:pPr>
              <w:spacing w:after="0"/>
              <w:rPr>
                <w:sz w:val="24"/>
                <w:szCs w:val="24"/>
                <w:color w:val="auto"/>
              </w:rPr>
            </w:pPr>
          </w:p>
        </w:tc>
        <w:tc>
          <w:tcPr>
            <w:tcW w:w="6460" w:type="dxa"/>
            <w:vAlign w:val="bottom"/>
            <w:tcBorders>
              <w:bottom w:val="single" w:sz="8" w:color="0000EE"/>
            </w:tcBorders>
            <w:gridSpan w:val="18"/>
          </w:tcPr>
          <w:p>
            <w:pPr>
              <w:spacing w:after="0"/>
              <w:rPr>
                <w:sz w:val="20"/>
                <w:szCs w:val="20"/>
                <w:color w:val="auto"/>
              </w:rPr>
            </w:pPr>
            <w:r>
              <w:rPr>
                <w:rFonts w:ascii="Arial" w:cs="Arial" w:eastAsia="Arial" w:hAnsi="Arial"/>
                <w:sz w:val="18"/>
                <w:szCs w:val="18"/>
                <w:color w:val="0000EE"/>
                <w:w w:val="90"/>
              </w:rPr>
              <w:t>Management’s Discussion and Analysis of Financial Condition and Results of Operations</w:t>
            </w:r>
          </w:p>
        </w:tc>
        <w:tc>
          <w:tcPr>
            <w:tcW w:w="1000" w:type="dxa"/>
            <w:vAlign w:val="bottom"/>
            <w:gridSpan w:val="5"/>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520" w:type="dxa"/>
            <w:vAlign w:val="bottom"/>
            <w:gridSpan w:val="2"/>
          </w:tcPr>
          <w:p>
            <w:pPr>
              <w:spacing w:after="0"/>
              <w:rPr>
                <w:sz w:val="20"/>
                <w:szCs w:val="20"/>
                <w:color w:val="auto"/>
              </w:rPr>
            </w:pPr>
            <w:r>
              <w:rPr>
                <w:rFonts w:ascii="Arial" w:cs="Arial" w:eastAsia="Arial" w:hAnsi="Arial"/>
                <w:sz w:val="18"/>
                <w:szCs w:val="18"/>
                <w:color w:val="0000EE"/>
                <w:w w:val="90"/>
              </w:rPr>
              <w:t>Item 3.</w:t>
            </w:r>
          </w:p>
        </w:tc>
        <w:tc>
          <w:tcPr>
            <w:tcW w:w="180" w:type="dxa"/>
            <w:vAlign w:val="bottom"/>
            <w:gridSpan w:val="2"/>
          </w:tcPr>
          <w:p>
            <w:pPr>
              <w:spacing w:after="0"/>
              <w:rPr>
                <w:sz w:val="24"/>
                <w:szCs w:val="24"/>
                <w:color w:val="auto"/>
              </w:rPr>
            </w:pPr>
          </w:p>
        </w:tc>
        <w:tc>
          <w:tcPr>
            <w:tcW w:w="7460" w:type="dxa"/>
            <w:vAlign w:val="bottom"/>
            <w:gridSpan w:val="23"/>
          </w:tcPr>
          <w:p>
            <w:pPr>
              <w:spacing w:after="0"/>
              <w:rPr>
                <w:sz w:val="20"/>
                <w:szCs w:val="20"/>
                <w:color w:val="auto"/>
              </w:rPr>
            </w:pPr>
            <w:r>
              <w:rPr>
                <w:rFonts w:ascii="Arial" w:cs="Arial" w:eastAsia="Arial" w:hAnsi="Arial"/>
                <w:sz w:val="18"/>
                <w:szCs w:val="18"/>
                <w:color w:val="0000EE"/>
              </w:rPr>
              <w:t>Quantitative and Qualitative Disclosures about Market Risk</w:t>
            </w:r>
          </w:p>
        </w:tc>
        <w:tc>
          <w:tcPr>
            <w:tcW w:w="520" w:type="dxa"/>
            <w:vAlign w:val="bottom"/>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52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0000EE"/>
                <w:w w:val="90"/>
              </w:rPr>
              <w:t>Item 4.</w:t>
            </w:r>
          </w:p>
        </w:tc>
        <w:tc>
          <w:tcPr>
            <w:tcW w:w="180" w:type="dxa"/>
            <w:vAlign w:val="bottom"/>
            <w:gridSpan w:val="2"/>
          </w:tcPr>
          <w:p>
            <w:pPr>
              <w:spacing w:after="0"/>
              <w:rPr>
                <w:sz w:val="24"/>
                <w:szCs w:val="24"/>
                <w:color w:val="auto"/>
              </w:rPr>
            </w:pPr>
          </w:p>
        </w:tc>
        <w:tc>
          <w:tcPr>
            <w:tcW w:w="4300" w:type="dxa"/>
            <w:vAlign w:val="bottom"/>
            <w:tcBorders>
              <w:top w:val="single" w:sz="8" w:color="0000EE"/>
            </w:tcBorders>
            <w:gridSpan w:val="16"/>
          </w:tcPr>
          <w:p>
            <w:pPr>
              <w:spacing w:after="0"/>
              <w:rPr>
                <w:sz w:val="20"/>
                <w:szCs w:val="20"/>
                <w:color w:val="auto"/>
              </w:rPr>
            </w:pPr>
            <w:r>
              <w:rPr>
                <w:rFonts w:ascii="Arial" w:cs="Arial" w:eastAsia="Arial" w:hAnsi="Arial"/>
                <w:sz w:val="18"/>
                <w:szCs w:val="18"/>
                <w:color w:val="0000EE"/>
              </w:rPr>
              <w:t>Controls and Procedures</w:t>
            </w:r>
          </w:p>
        </w:tc>
        <w:tc>
          <w:tcPr>
            <w:tcW w:w="3160" w:type="dxa"/>
            <w:vAlign w:val="bottom"/>
            <w:gridSpan w:val="7"/>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3120" w:type="dxa"/>
            <w:vAlign w:val="bottom"/>
            <w:gridSpan w:val="6"/>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3"/>
        </w:trPr>
        <w:tc>
          <w:tcPr>
            <w:tcW w:w="20" w:type="dxa"/>
            <w:vAlign w:val="bottom"/>
          </w:tcPr>
          <w:p>
            <w:pPr>
              <w:spacing w:after="0"/>
              <w:rPr>
                <w:sz w:val="24"/>
                <w:szCs w:val="24"/>
                <w:color w:val="auto"/>
              </w:rPr>
            </w:pPr>
          </w:p>
        </w:tc>
        <w:tc>
          <w:tcPr>
            <w:tcW w:w="8160" w:type="dxa"/>
            <w:vAlign w:val="bottom"/>
            <w:gridSpan w:val="27"/>
          </w:tcPr>
          <w:p>
            <w:pPr>
              <w:spacing w:after="0"/>
              <w:rPr>
                <w:sz w:val="20"/>
                <w:szCs w:val="20"/>
                <w:color w:val="auto"/>
              </w:rPr>
            </w:pPr>
            <w:r>
              <w:rPr>
                <w:rFonts w:ascii="Arial" w:cs="Arial" w:eastAsia="Arial" w:hAnsi="Arial"/>
                <w:sz w:val="18"/>
                <w:szCs w:val="18"/>
                <w:b w:val="1"/>
                <w:bCs w:val="1"/>
                <w:color w:val="0000EE"/>
              </w:rPr>
              <w:t>PART II. OTHER INFORMATION</w:t>
            </w: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52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8"/>
                <w:szCs w:val="18"/>
                <w:color w:val="0000EE"/>
                <w:w w:val="90"/>
              </w:rPr>
              <w:t>Item 1.</w:t>
            </w:r>
          </w:p>
        </w:tc>
        <w:tc>
          <w:tcPr>
            <w:tcW w:w="180" w:type="dxa"/>
            <w:vAlign w:val="bottom"/>
            <w:tcBorders>
              <w:top w:val="single" w:sz="8" w:color="0000EE"/>
            </w:tcBorders>
            <w:gridSpan w:val="2"/>
          </w:tcPr>
          <w:p>
            <w:pPr>
              <w:spacing w:after="0"/>
              <w:rPr>
                <w:sz w:val="24"/>
                <w:szCs w:val="24"/>
                <w:color w:val="auto"/>
              </w:rPr>
            </w:pPr>
          </w:p>
        </w:tc>
        <w:tc>
          <w:tcPr>
            <w:tcW w:w="1340" w:type="dxa"/>
            <w:vAlign w:val="bottom"/>
            <w:tcBorders>
              <w:top w:val="single" w:sz="8" w:color="0000EE"/>
              <w:bottom w:val="single" w:sz="8" w:color="0000EE"/>
            </w:tcBorders>
            <w:gridSpan w:val="7"/>
          </w:tcPr>
          <w:p>
            <w:pPr>
              <w:spacing w:after="0"/>
              <w:rPr>
                <w:sz w:val="20"/>
                <w:szCs w:val="20"/>
                <w:color w:val="auto"/>
              </w:rPr>
            </w:pPr>
            <w:r>
              <w:rPr>
                <w:rFonts w:ascii="Arial" w:cs="Arial" w:eastAsia="Arial" w:hAnsi="Arial"/>
                <w:sz w:val="18"/>
                <w:szCs w:val="18"/>
                <w:color w:val="0000EE"/>
                <w:w w:val="88"/>
              </w:rPr>
              <w:t>Legal Proceedings</w:t>
            </w:r>
          </w:p>
        </w:tc>
        <w:tc>
          <w:tcPr>
            <w:tcW w:w="720" w:type="dxa"/>
            <w:vAlign w:val="bottom"/>
            <w:tcBorders>
              <w:top w:val="single" w:sz="8" w:color="0000EE"/>
            </w:tcBorders>
            <w:gridSpan w:val="3"/>
          </w:tcPr>
          <w:p>
            <w:pPr>
              <w:spacing w:after="0"/>
              <w:rPr>
                <w:sz w:val="24"/>
                <w:szCs w:val="24"/>
                <w:color w:val="auto"/>
              </w:rPr>
            </w:pPr>
          </w:p>
        </w:tc>
        <w:tc>
          <w:tcPr>
            <w:tcW w:w="5400" w:type="dxa"/>
            <w:vAlign w:val="bottom"/>
            <w:gridSpan w:val="13"/>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640" w:type="dxa"/>
            <w:vAlign w:val="bottom"/>
            <w:gridSpan w:val="3"/>
          </w:tcPr>
          <w:p>
            <w:pPr>
              <w:spacing w:after="0"/>
              <w:rPr>
                <w:sz w:val="20"/>
                <w:szCs w:val="20"/>
                <w:color w:val="auto"/>
              </w:rPr>
            </w:pPr>
            <w:r>
              <w:rPr>
                <w:rFonts w:ascii="Arial" w:cs="Arial" w:eastAsia="Arial" w:hAnsi="Arial"/>
                <w:sz w:val="18"/>
                <w:szCs w:val="18"/>
                <w:color w:val="0000EE"/>
                <w:w w:val="92"/>
              </w:rPr>
              <w:t>Item 1A.</w:t>
            </w:r>
          </w:p>
        </w:tc>
        <w:tc>
          <w:tcPr>
            <w:tcW w:w="60" w:type="dxa"/>
            <w:vAlign w:val="bottom"/>
          </w:tcPr>
          <w:p>
            <w:pPr>
              <w:spacing w:after="0"/>
              <w:rPr>
                <w:sz w:val="24"/>
                <w:szCs w:val="24"/>
                <w:color w:val="auto"/>
              </w:rPr>
            </w:pPr>
          </w:p>
        </w:tc>
        <w:tc>
          <w:tcPr>
            <w:tcW w:w="7460" w:type="dxa"/>
            <w:vAlign w:val="bottom"/>
            <w:gridSpan w:val="23"/>
          </w:tcPr>
          <w:p>
            <w:pPr>
              <w:spacing w:after="0"/>
              <w:rPr>
                <w:sz w:val="20"/>
                <w:szCs w:val="20"/>
                <w:color w:val="auto"/>
              </w:rPr>
            </w:pPr>
            <w:r>
              <w:rPr>
                <w:rFonts w:ascii="Arial" w:cs="Arial" w:eastAsia="Arial" w:hAnsi="Arial"/>
                <w:sz w:val="18"/>
                <w:szCs w:val="18"/>
                <w:color w:val="0000EE"/>
              </w:rPr>
              <w:t>Risk Factors</w:t>
            </w:r>
          </w:p>
        </w:tc>
        <w:tc>
          <w:tcPr>
            <w:tcW w:w="52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3120" w:type="dxa"/>
            <w:vAlign w:val="bottom"/>
            <w:gridSpan w:val="6"/>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520" w:type="dxa"/>
            <w:vAlign w:val="bottom"/>
            <w:gridSpan w:val="2"/>
          </w:tcPr>
          <w:p>
            <w:pPr>
              <w:spacing w:after="0"/>
              <w:rPr>
                <w:sz w:val="20"/>
                <w:szCs w:val="20"/>
                <w:color w:val="auto"/>
              </w:rPr>
            </w:pPr>
            <w:r>
              <w:rPr>
                <w:rFonts w:ascii="Arial" w:cs="Arial" w:eastAsia="Arial" w:hAnsi="Arial"/>
                <w:sz w:val="18"/>
                <w:szCs w:val="18"/>
                <w:color w:val="0000EE"/>
                <w:w w:val="90"/>
              </w:rPr>
              <w:t>Item 2.</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60" w:type="dxa"/>
            <w:vAlign w:val="bottom"/>
            <w:gridSpan w:val="23"/>
          </w:tcPr>
          <w:p>
            <w:pPr>
              <w:spacing w:after="0"/>
              <w:rPr>
                <w:sz w:val="20"/>
                <w:szCs w:val="20"/>
                <w:color w:val="auto"/>
              </w:rPr>
            </w:pPr>
            <w:r>
              <w:rPr>
                <w:rFonts w:ascii="Arial" w:cs="Arial" w:eastAsia="Arial" w:hAnsi="Arial"/>
                <w:sz w:val="18"/>
                <w:szCs w:val="18"/>
                <w:color w:val="0000EE"/>
              </w:rPr>
              <w:t>Unregistered Sales of Equity Securities and Use of Proceeds</w:t>
            </w:r>
          </w:p>
        </w:tc>
        <w:tc>
          <w:tcPr>
            <w:tcW w:w="52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52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0000EE"/>
                <w:w w:val="90"/>
              </w:rPr>
              <w:t>Item 3.</w:t>
            </w:r>
          </w:p>
        </w:tc>
        <w:tc>
          <w:tcPr>
            <w:tcW w:w="180" w:type="dxa"/>
            <w:vAlign w:val="bottom"/>
            <w:gridSpan w:val="2"/>
          </w:tcPr>
          <w:p>
            <w:pPr>
              <w:spacing w:after="0"/>
              <w:rPr>
                <w:sz w:val="24"/>
                <w:szCs w:val="24"/>
                <w:color w:val="auto"/>
              </w:rPr>
            </w:pPr>
          </w:p>
        </w:tc>
        <w:tc>
          <w:tcPr>
            <w:tcW w:w="4340" w:type="dxa"/>
            <w:vAlign w:val="bottom"/>
            <w:tcBorders>
              <w:top w:val="single" w:sz="8" w:color="0000EE"/>
            </w:tcBorders>
            <w:gridSpan w:val="17"/>
          </w:tcPr>
          <w:p>
            <w:pPr>
              <w:spacing w:after="0"/>
              <w:rPr>
                <w:sz w:val="20"/>
                <w:szCs w:val="20"/>
                <w:color w:val="auto"/>
              </w:rPr>
            </w:pPr>
            <w:r>
              <w:rPr>
                <w:rFonts w:ascii="Arial" w:cs="Arial" w:eastAsia="Arial" w:hAnsi="Arial"/>
                <w:sz w:val="18"/>
                <w:szCs w:val="18"/>
                <w:color w:val="0000EE"/>
              </w:rPr>
              <w:t>Defaults Upon Senior Securities</w:t>
            </w:r>
          </w:p>
        </w:tc>
        <w:tc>
          <w:tcPr>
            <w:tcW w:w="3120" w:type="dxa"/>
            <w:vAlign w:val="bottom"/>
            <w:gridSpan w:val="6"/>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52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8"/>
                <w:szCs w:val="18"/>
                <w:color w:val="0000EE"/>
                <w:w w:val="90"/>
              </w:rPr>
              <w:t>Item 4.</w:t>
            </w:r>
          </w:p>
        </w:tc>
        <w:tc>
          <w:tcPr>
            <w:tcW w:w="180" w:type="dxa"/>
            <w:vAlign w:val="bottom"/>
            <w:gridSpan w:val="2"/>
          </w:tcPr>
          <w:p>
            <w:pPr>
              <w:spacing w:after="0"/>
              <w:rPr>
                <w:sz w:val="24"/>
                <w:szCs w:val="24"/>
                <w:color w:val="auto"/>
              </w:rPr>
            </w:pPr>
          </w:p>
        </w:tc>
        <w:tc>
          <w:tcPr>
            <w:tcW w:w="1780" w:type="dxa"/>
            <w:vAlign w:val="bottom"/>
            <w:tcBorders>
              <w:top w:val="single" w:sz="8" w:color="0000EE"/>
              <w:bottom w:val="single" w:sz="8" w:color="0000EE"/>
            </w:tcBorders>
            <w:gridSpan w:val="9"/>
          </w:tcPr>
          <w:p>
            <w:pPr>
              <w:spacing w:after="0"/>
              <w:rPr>
                <w:sz w:val="20"/>
                <w:szCs w:val="20"/>
                <w:color w:val="auto"/>
              </w:rPr>
            </w:pPr>
            <w:r>
              <w:rPr>
                <w:rFonts w:ascii="Arial" w:cs="Arial" w:eastAsia="Arial" w:hAnsi="Arial"/>
                <w:sz w:val="18"/>
                <w:szCs w:val="18"/>
                <w:color w:val="0000EE"/>
                <w:w w:val="91"/>
              </w:rPr>
              <w:t>Mine Safety Disclosures</w:t>
            </w:r>
          </w:p>
        </w:tc>
        <w:tc>
          <w:tcPr>
            <w:tcW w:w="540" w:type="dxa"/>
            <w:vAlign w:val="bottom"/>
            <w:tcBorders>
              <w:top w:val="single" w:sz="8" w:color="0000EE"/>
            </w:tcBorders>
            <w:gridSpan w:val="2"/>
          </w:tcPr>
          <w:p>
            <w:pPr>
              <w:spacing w:after="0"/>
              <w:rPr>
                <w:sz w:val="24"/>
                <w:szCs w:val="24"/>
                <w:color w:val="auto"/>
              </w:rPr>
            </w:pPr>
          </w:p>
        </w:tc>
        <w:tc>
          <w:tcPr>
            <w:tcW w:w="5140" w:type="dxa"/>
            <w:vAlign w:val="bottom"/>
            <w:gridSpan w:val="12"/>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52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0"/>
              </w:rPr>
              <w:t>Item 5.</w:t>
            </w:r>
          </w:p>
        </w:tc>
        <w:tc>
          <w:tcPr>
            <w:tcW w:w="180" w:type="dxa"/>
            <w:vAlign w:val="bottom"/>
            <w:gridSpan w:val="2"/>
          </w:tcPr>
          <w:p>
            <w:pPr>
              <w:spacing w:after="0"/>
              <w:rPr>
                <w:sz w:val="24"/>
                <w:szCs w:val="24"/>
                <w:color w:val="auto"/>
              </w:rPr>
            </w:pPr>
          </w:p>
        </w:tc>
        <w:tc>
          <w:tcPr>
            <w:tcW w:w="132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2"/>
              </w:rPr>
              <w:t>Other Information</w:t>
            </w:r>
          </w:p>
        </w:tc>
        <w:tc>
          <w:tcPr>
            <w:tcW w:w="6140" w:type="dxa"/>
            <w:vAlign w:val="bottom"/>
            <w:gridSpan w:val="17"/>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700" w:type="dxa"/>
            <w:vAlign w:val="bottom"/>
            <w:gridSpan w:val="4"/>
          </w:tcPr>
          <w:p>
            <w:pPr>
              <w:spacing w:after="0"/>
              <w:rPr>
                <w:sz w:val="20"/>
                <w:szCs w:val="20"/>
                <w:color w:val="auto"/>
              </w:rPr>
            </w:pPr>
            <w:r>
              <w:rPr>
                <w:rFonts w:ascii="Arial" w:cs="Arial" w:eastAsia="Arial" w:hAnsi="Arial"/>
                <w:sz w:val="18"/>
                <w:szCs w:val="18"/>
                <w:color w:val="0000EE"/>
              </w:rPr>
              <w:t>Item 6.</w:t>
            </w:r>
          </w:p>
        </w:tc>
        <w:tc>
          <w:tcPr>
            <w:tcW w:w="7460" w:type="dxa"/>
            <w:vAlign w:val="bottom"/>
            <w:gridSpan w:val="23"/>
          </w:tcPr>
          <w:p>
            <w:pPr>
              <w:spacing w:after="0"/>
              <w:rPr>
                <w:sz w:val="20"/>
                <w:szCs w:val="20"/>
                <w:color w:val="auto"/>
              </w:rPr>
            </w:pPr>
            <w:r>
              <w:rPr>
                <w:rFonts w:ascii="Arial" w:cs="Arial" w:eastAsia="Arial" w:hAnsi="Arial"/>
                <w:sz w:val="18"/>
                <w:szCs w:val="18"/>
                <w:color w:val="0000EE"/>
              </w:rPr>
              <w:t>Exhibits</w:t>
            </w:r>
          </w:p>
        </w:tc>
        <w:tc>
          <w:tcPr>
            <w:tcW w:w="520" w:type="dxa"/>
            <w:vAlign w:val="bottom"/>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700" w:type="dxa"/>
            <w:vAlign w:val="bottom"/>
            <w:gridSpan w:val="2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85"/>
              </w:rPr>
              <w:t>Signatures</w:t>
            </w:r>
          </w:p>
        </w:tc>
        <w:tc>
          <w:tcPr>
            <w:tcW w:w="6700" w:type="dxa"/>
            <w:vAlign w:val="bottom"/>
            <w:gridSpan w:val="20"/>
            <w:vMerge w:val="restart"/>
          </w:tcPr>
          <w:p>
            <w:pPr>
              <w:spacing w:after="0"/>
              <w:rPr>
                <w:sz w:val="24"/>
                <w:szCs w:val="24"/>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gridSpan w:val="3"/>
          </w:tcPr>
          <w:p>
            <w:pPr>
              <w:spacing w:after="0"/>
              <w:rPr>
                <w:sz w:val="5"/>
                <w:szCs w:val="5"/>
                <w:color w:val="auto"/>
              </w:rPr>
            </w:pPr>
          </w:p>
        </w:tc>
        <w:tc>
          <w:tcPr>
            <w:tcW w:w="6700" w:type="dxa"/>
            <w:vAlign w:val="bottom"/>
            <w:gridSpan w:val="20"/>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43"/>
        </w:trPr>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ALTIMMUNE,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12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4"/>
                <w:szCs w:val="14"/>
                <w:color w:val="auto"/>
              </w:rPr>
            </w:pPr>
          </w:p>
        </w:tc>
        <w:tc>
          <w:tcPr>
            <w:tcW w:w="980" w:type="dxa"/>
            <w:vAlign w:val="bottom"/>
          </w:tcPr>
          <w:p>
            <w:pPr>
              <w:jc w:val="right"/>
              <w:ind w:right="51"/>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6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31"/>
              <w:spacing w:after="0"/>
              <w:rPr>
                <w:sz w:val="20"/>
                <w:szCs w:val="20"/>
                <w:color w:val="auto"/>
              </w:rPr>
            </w:pPr>
            <w:r>
              <w:rPr>
                <w:rFonts w:ascii="Arial" w:cs="Arial" w:eastAsia="Arial" w:hAnsi="Arial"/>
                <w:sz w:val="14"/>
                <w:szCs w:val="14"/>
                <w:b w:val="1"/>
                <w:bCs w:val="1"/>
                <w:color w:val="auto"/>
                <w:w w:val="96"/>
              </w:rPr>
              <w:t>2022</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2021</w:t>
            </w:r>
          </w:p>
        </w:tc>
      </w:tr>
      <w:tr>
        <w:trPr>
          <w:trHeight w:val="142"/>
        </w:trPr>
        <w:tc>
          <w:tcPr>
            <w:tcW w:w="6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31"/>
              <w:spacing w:after="0" w:line="142" w:lineRule="exact"/>
              <w:rPr>
                <w:sz w:val="20"/>
                <w:szCs w:val="20"/>
                <w:color w:val="auto"/>
              </w:rPr>
            </w:pPr>
            <w:r>
              <w:rPr>
                <w:rFonts w:ascii="Arial" w:cs="Arial" w:eastAsia="Arial" w:hAnsi="Arial"/>
                <w:sz w:val="14"/>
                <w:szCs w:val="14"/>
                <w:b w:val="1"/>
                <w:bCs w:val="1"/>
                <w:color w:val="auto"/>
                <w:w w:val="95"/>
              </w:rPr>
              <w:t>(Unaudited)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65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6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127,465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190,301</w:t>
            </w:r>
          </w:p>
        </w:tc>
      </w:tr>
      <w:tr>
        <w:trPr>
          <w:trHeight w:val="216"/>
        </w:trPr>
        <w:tc>
          <w:tcPr>
            <w:tcW w:w="65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Restricted cash</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r>
      <w:tr>
        <w:trPr>
          <w:trHeight w:val="209"/>
        </w:trPr>
        <w:tc>
          <w:tcPr>
            <w:tcW w:w="6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cash, cash equivalents and restricted cash</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127,499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190,335</w:t>
            </w:r>
          </w:p>
        </w:tc>
      </w:tr>
      <w:tr>
        <w:trPr>
          <w:trHeight w:val="216"/>
        </w:trPr>
        <w:tc>
          <w:tcPr>
            <w:tcW w:w="6580" w:type="dxa"/>
            <w:vAlign w:val="bottom"/>
          </w:tcPr>
          <w:p>
            <w:pPr>
              <w:ind w:left="120"/>
              <w:spacing w:after="0"/>
              <w:rPr>
                <w:sz w:val="20"/>
                <w:szCs w:val="20"/>
                <w:color w:val="auto"/>
              </w:rPr>
            </w:pPr>
            <w:r>
              <w:rPr>
                <w:rFonts w:ascii="Arial" w:cs="Arial" w:eastAsia="Arial" w:hAnsi="Arial"/>
                <w:sz w:val="18"/>
                <w:szCs w:val="18"/>
                <w:color w:val="auto"/>
              </w:rPr>
              <w:t>Short-term investments</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74,362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receivable</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r>
      <w:tr>
        <w:trPr>
          <w:trHeight w:val="216"/>
        </w:trPr>
        <w:tc>
          <w:tcPr>
            <w:tcW w:w="6580" w:type="dxa"/>
            <w:vAlign w:val="bottom"/>
          </w:tcPr>
          <w:p>
            <w:pPr>
              <w:ind w:left="120"/>
              <w:spacing w:after="0"/>
              <w:rPr>
                <w:sz w:val="20"/>
                <w:szCs w:val="20"/>
                <w:color w:val="auto"/>
              </w:rPr>
            </w:pPr>
            <w:r>
              <w:rPr>
                <w:rFonts w:ascii="Arial" w:cs="Arial" w:eastAsia="Arial" w:hAnsi="Arial"/>
                <w:sz w:val="18"/>
                <w:szCs w:val="18"/>
                <w:color w:val="auto"/>
              </w:rPr>
              <w:t>Income tax and R&amp;D incentive receivables</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3,720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5,410</w:t>
            </w:r>
          </w:p>
        </w:tc>
      </w:tr>
      <w:tr>
        <w:trPr>
          <w:trHeight w:val="216"/>
        </w:trPr>
        <w:tc>
          <w:tcPr>
            <w:tcW w:w="6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4,790</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7,952</w:t>
            </w:r>
          </w:p>
        </w:tc>
      </w:tr>
      <w:tr>
        <w:trPr>
          <w:trHeight w:val="209"/>
        </w:trPr>
        <w:tc>
          <w:tcPr>
            <w:tcW w:w="6580" w:type="dxa"/>
            <w:vAlign w:val="bottom"/>
          </w:tcPr>
          <w:p>
            <w:pPr>
              <w:ind w:left="220"/>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211,004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204,126</w:t>
            </w: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w:t>
            </w:r>
          </w:p>
        </w:tc>
      </w:tr>
      <w:tr>
        <w:trPr>
          <w:trHeight w:val="216"/>
        </w:trPr>
        <w:tc>
          <w:tcPr>
            <w:tcW w:w="658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12,419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12,419</w:t>
            </w: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w:t>
            </w:r>
          </w:p>
        </w:tc>
      </w:tr>
      <w:tr>
        <w:trPr>
          <w:trHeight w:val="250"/>
        </w:trPr>
        <w:tc>
          <w:tcPr>
            <w:tcW w:w="65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225,277</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218,865</w:t>
            </w:r>
          </w:p>
        </w:tc>
      </w:tr>
      <w:tr>
        <w:trPr>
          <w:trHeight w:val="196"/>
        </w:trPr>
        <w:tc>
          <w:tcPr>
            <w:tcW w:w="65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16"/>
        </w:trPr>
        <w:tc>
          <w:tcPr>
            <w:tcW w:w="65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6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w:t>
            </w:r>
          </w:p>
        </w:tc>
      </w:tr>
      <w:tr>
        <w:trPr>
          <w:trHeight w:val="216"/>
        </w:trPr>
        <w:tc>
          <w:tcPr>
            <w:tcW w:w="6580" w:type="dxa"/>
            <w:vAlign w:val="bottom"/>
          </w:tcPr>
          <w:p>
            <w:pPr>
              <w:ind w:left="120"/>
              <w:spacing w:after="0"/>
              <w:rPr>
                <w:sz w:val="20"/>
                <w:szCs w:val="20"/>
                <w:color w:val="auto"/>
              </w:rPr>
            </w:pPr>
            <w:r>
              <w:rPr>
                <w:rFonts w:ascii="Arial" w:cs="Arial" w:eastAsia="Arial" w:hAnsi="Arial"/>
                <w:sz w:val="18"/>
                <w:szCs w:val="18"/>
                <w:color w:val="auto"/>
              </w:rPr>
              <w:t>Contingent consideration</w:t>
            </w:r>
          </w:p>
        </w:tc>
        <w:tc>
          <w:tcPr>
            <w:tcW w:w="1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6,090</w:t>
            </w:r>
          </w:p>
        </w:tc>
      </w:tr>
      <w:tr>
        <w:trPr>
          <w:trHeight w:val="216"/>
        </w:trPr>
        <w:tc>
          <w:tcPr>
            <w:tcW w:w="6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expenses and other current liabilities</w:t>
            </w: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14,323</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10,152</w:t>
            </w:r>
          </w:p>
        </w:tc>
      </w:tr>
      <w:tr>
        <w:trPr>
          <w:trHeight w:val="210"/>
        </w:trPr>
        <w:tc>
          <w:tcPr>
            <w:tcW w:w="6580" w:type="dxa"/>
            <w:vAlign w:val="bottom"/>
          </w:tcPr>
          <w:p>
            <w:pPr>
              <w:ind w:left="220"/>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15,742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18,276</w:t>
            </w: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4,506</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1,454</w:t>
            </w:r>
          </w:p>
        </w:tc>
      </w:tr>
      <w:tr>
        <w:trPr>
          <w:trHeight w:val="210"/>
        </w:trPr>
        <w:tc>
          <w:tcPr>
            <w:tcW w:w="65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20,248</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19,730</w:t>
            </w:r>
          </w:p>
        </w:tc>
      </w:tr>
      <w:tr>
        <w:trPr>
          <w:trHeight w:val="210"/>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14)</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658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2"/>
        </w:trPr>
        <w:tc>
          <w:tcPr>
            <w:tcW w:w="658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6"/>
              </w:rPr>
              <w:t>Common stock, $0.0001 par value; 200,000,000 shares authorized; 49,161,637 and</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16"/>
        </w:trPr>
        <w:tc>
          <w:tcPr>
            <w:tcW w:w="6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40,993,768 shares issued and outstanding as of September 30, 2022 and</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0"/>
        </w:trPr>
        <w:tc>
          <w:tcPr>
            <w:tcW w:w="6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December 31, 2021, respectively</w:t>
            </w: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6580" w:type="dxa"/>
            <w:vAlign w:val="bottom"/>
          </w:tcPr>
          <w:p>
            <w:pPr>
              <w:ind w:left="12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566,551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497,342</w:t>
            </w:r>
          </w:p>
        </w:tc>
      </w:tr>
      <w:tr>
        <w:trPr>
          <w:trHeight w:val="216"/>
        </w:trPr>
        <w:tc>
          <w:tcPr>
            <w:tcW w:w="6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(356,224)</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(293,171)</w:t>
            </w:r>
          </w:p>
        </w:tc>
      </w:tr>
      <w:tr>
        <w:trPr>
          <w:trHeight w:val="216"/>
        </w:trPr>
        <w:tc>
          <w:tcPr>
            <w:tcW w:w="6580" w:type="dxa"/>
            <w:vAlign w:val="bottom"/>
          </w:tcPr>
          <w:p>
            <w:pPr>
              <w:ind w:left="120"/>
              <w:spacing w:after="0"/>
              <w:rPr>
                <w:sz w:val="20"/>
                <w:szCs w:val="20"/>
                <w:color w:val="auto"/>
              </w:rPr>
            </w:pPr>
            <w:r>
              <w:rPr>
                <w:rFonts w:ascii="Arial" w:cs="Arial" w:eastAsia="Arial" w:hAnsi="Arial"/>
                <w:sz w:val="18"/>
                <w:szCs w:val="18"/>
                <w:color w:val="auto"/>
              </w:rPr>
              <w:t>Accumulated other comprehensive loss, net</w:t>
            </w:r>
          </w:p>
        </w:tc>
        <w:tc>
          <w:tcPr>
            <w:tcW w:w="1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(5,303)</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(5,040)</w:t>
            </w:r>
          </w:p>
        </w:tc>
      </w:tr>
      <w:tr>
        <w:trPr>
          <w:trHeight w:val="210"/>
        </w:trPr>
        <w:tc>
          <w:tcPr>
            <w:tcW w:w="658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205,029</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199,135</w:t>
            </w:r>
          </w:p>
        </w:tc>
      </w:tr>
      <w:tr>
        <w:trPr>
          <w:trHeight w:val="210"/>
        </w:trPr>
        <w:tc>
          <w:tcPr>
            <w:tcW w:w="6580" w:type="dxa"/>
            <w:vAlign w:val="bottom"/>
          </w:tcPr>
          <w:p>
            <w:pPr>
              <w:ind w:left="220"/>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225,277</w:t>
            </w: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218,865</w:t>
            </w:r>
          </w:p>
        </w:tc>
      </w:tr>
      <w:tr>
        <w:trPr>
          <w:trHeight w:val="20"/>
        </w:trPr>
        <w:tc>
          <w:tcPr>
            <w:tcW w:w="6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340"/>
        <w:spacing w:after="0"/>
        <w:rPr>
          <w:sz w:val="20"/>
          <w:szCs w:val="20"/>
          <w:color w:val="auto"/>
        </w:rPr>
      </w:pPr>
      <w:r>
        <w:rPr>
          <w:rFonts w:ascii="Arial" w:cs="Arial" w:eastAsia="Arial" w:hAnsi="Arial"/>
          <w:sz w:val="17"/>
          <w:szCs w:val="17"/>
          <w:i w:val="1"/>
          <w:iCs w:val="1"/>
          <w:color w:val="auto"/>
        </w:rPr>
        <w:t>The accompanying notes are an integral part of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ALTIMMUNE,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08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4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208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44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20,262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29,206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51,359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54,356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120"/>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4,492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4,156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13,329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11,636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Impairment loss on construction-in-progress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24,754</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33,362</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64,688</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74,062</w:t>
            </w: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(24,752)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(33,204)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(64,646)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(72,929)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(191)</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4460" w:type="dxa"/>
            <w:vAlign w:val="bottom"/>
          </w:tcPr>
          <w:p>
            <w:pPr>
              <w:ind w:left="120"/>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1,053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1,402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income (expense), net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(286)</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09"/>
        </w:trPr>
        <w:tc>
          <w:tcPr>
            <w:tcW w:w="44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other income (expense), net</w:t>
            </w:r>
          </w:p>
        </w:tc>
        <w:tc>
          <w:tcPr>
            <w:tcW w:w="1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1,039</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1,396</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before income taxes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(33,510)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(63,250)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(73,201)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20"/>
              <w:spacing w:after="0"/>
              <w:rPr>
                <w:sz w:val="20"/>
                <w:szCs w:val="20"/>
                <w:color w:val="auto"/>
              </w:rPr>
            </w:pPr>
            <w:r>
              <w:rPr>
                <w:rFonts w:ascii="Arial" w:cs="Arial" w:eastAsia="Arial" w:hAnsi="Arial"/>
                <w:sz w:val="18"/>
                <w:szCs w:val="18"/>
                <w:color w:val="auto"/>
              </w:rPr>
              <w:t>Income tax benefit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(23,516)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(33,510)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(63,053)</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(73,201)</w:t>
            </w: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460" w:type="dxa"/>
            <w:vAlign w:val="bottom"/>
          </w:tcPr>
          <w:p>
            <w:pPr>
              <w:ind w:left="20"/>
              <w:spacing w:after="0" w:line="201" w:lineRule="exact"/>
              <w:rPr>
                <w:sz w:val="20"/>
                <w:szCs w:val="20"/>
                <w:color w:val="auto"/>
              </w:rPr>
            </w:pPr>
            <w:r>
              <w:rPr>
                <w:rFonts w:ascii="Arial" w:cs="Arial" w:eastAsia="Arial" w:hAnsi="Arial"/>
                <w:sz w:val="18"/>
                <w:szCs w:val="18"/>
                <w:color w:val="auto"/>
                <w:w w:val="96"/>
              </w:rPr>
              <w:t>Other comprehensive income — unrealized (loss) gain on</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12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(23,659)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(33,512)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(63,316)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(73,197)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vMerge w:val="restart"/>
          </w:tcPr>
          <w:p>
            <w:pPr>
              <w:ind w:left="20"/>
              <w:spacing w:after="0"/>
              <w:rPr>
                <w:sz w:val="20"/>
                <w:szCs w:val="20"/>
                <w:color w:val="auto"/>
              </w:rPr>
            </w:pPr>
            <w:r>
              <w:rPr>
                <w:rFonts w:ascii="Arial" w:cs="Arial" w:eastAsia="Arial" w:hAnsi="Arial"/>
                <w:sz w:val="18"/>
                <w:szCs w:val="18"/>
                <w:color w:val="auto"/>
              </w:rPr>
              <w:t>Net loss per share, basic and diluted</w:t>
            </w: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46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(0.48)</w:t>
            </w:r>
          </w:p>
        </w:tc>
        <w:tc>
          <w:tcPr>
            <w:tcW w:w="16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(0.81)</w:t>
            </w:r>
          </w:p>
        </w:tc>
        <w:tc>
          <w:tcPr>
            <w:tcW w:w="16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(1.37)</w:t>
            </w:r>
          </w:p>
        </w:tc>
        <w:tc>
          <w:tcPr>
            <w:tcW w:w="16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(1.79)</w:t>
            </w:r>
          </w:p>
        </w:tc>
        <w:tc>
          <w:tcPr>
            <w:tcW w:w="2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4460" w:type="dxa"/>
            <w:vAlign w:val="bottom"/>
            <w:shd w:val="clear" w:color="auto" w:fill="CCEEFF"/>
          </w:tcPr>
          <w:p>
            <w:pPr>
              <w:ind w:left="20"/>
              <w:spacing w:after="0" w:line="155" w:lineRule="exact"/>
              <w:rPr>
                <w:sz w:val="20"/>
                <w:szCs w:val="20"/>
                <w:color w:val="auto"/>
              </w:rPr>
            </w:pPr>
            <w:r>
              <w:rPr>
                <w:rFonts w:ascii="Arial" w:cs="Arial" w:eastAsia="Arial" w:hAnsi="Arial"/>
                <w:sz w:val="17"/>
                <w:szCs w:val="17"/>
                <w:color w:val="auto"/>
              </w:rPr>
              <w:t>Weighted-average common shares outstanding, basic and</w:t>
            </w:r>
          </w:p>
        </w:tc>
        <w:tc>
          <w:tcPr>
            <w:tcW w:w="12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49,286,535</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41,370,768</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45,881,547</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40,843,905</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340"/>
        <w:spacing w:after="0"/>
        <w:rPr>
          <w:sz w:val="20"/>
          <w:szCs w:val="20"/>
          <w:color w:val="auto"/>
        </w:rPr>
      </w:pPr>
      <w:r>
        <w:rPr>
          <w:rFonts w:ascii="Arial" w:cs="Arial" w:eastAsia="Arial" w:hAnsi="Arial"/>
          <w:sz w:val="18"/>
          <w:szCs w:val="18"/>
          <w:i w:val="1"/>
          <w:iCs w:val="1"/>
          <w:color w:val="auto"/>
        </w:rPr>
        <w:t>The accompanying notes are an integral part of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20"/>
          </w:cols>
          <w:pgMar w:left="1440" w:top="517" w:right="14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ALTIMMUNE,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amounts)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3"/>
              </w:rPr>
              <w:t>Additional</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Accumulated</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20" w:type="dxa"/>
            <w:vAlign w:val="bottom"/>
            <w:gridSpan w:val="5"/>
            <w:vMerge w:val="restart"/>
          </w:tcPr>
          <w:p>
            <w:pPr>
              <w:ind w:left="400"/>
              <w:spacing w:after="0"/>
              <w:rPr>
                <w:sz w:val="20"/>
                <w:szCs w:val="20"/>
                <w:color w:val="auto"/>
              </w:rPr>
            </w:pPr>
            <w:r>
              <w:rPr>
                <w:rFonts w:ascii="Arial" w:cs="Arial" w:eastAsia="Arial" w:hAnsi="Arial"/>
                <w:sz w:val="14"/>
                <w:szCs w:val="14"/>
                <w:b w:val="1"/>
                <w:bCs w:val="1"/>
                <w:color w:val="auto"/>
              </w:rPr>
              <w:t>Common Stock</w:t>
            </w:r>
          </w:p>
        </w:tc>
        <w:tc>
          <w:tcPr>
            <w:tcW w:w="980" w:type="dxa"/>
            <w:vAlign w:val="bottom"/>
            <w:gridSpan w:val="3"/>
            <w:vMerge w:val="continue"/>
          </w:tcPr>
          <w:p>
            <w:pPr>
              <w:spacing w:after="0"/>
              <w:rPr>
                <w:sz w:val="12"/>
                <w:szCs w:val="12"/>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Other</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gridSpan w:val="5"/>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Paid-In</w:t>
            </w:r>
          </w:p>
        </w:tc>
        <w:tc>
          <w:tcPr>
            <w:tcW w:w="840" w:type="dxa"/>
            <w:vAlign w:val="bottom"/>
            <w:gridSpan w:val="2"/>
            <w:vMerge w:val="continue"/>
          </w:tcPr>
          <w:p>
            <w:pPr>
              <w:spacing w:after="0"/>
              <w:rPr>
                <w:sz w:val="14"/>
                <w:szCs w:val="14"/>
                <w:color w:val="auto"/>
              </w:rPr>
            </w:pPr>
          </w:p>
        </w:tc>
        <w:tc>
          <w:tcPr>
            <w:tcW w:w="1180" w:type="dxa"/>
            <w:vAlign w:val="bottom"/>
            <w:gridSpan w:val="4"/>
          </w:tcPr>
          <w:p>
            <w:pPr>
              <w:ind w:left="160"/>
              <w:spacing w:after="0"/>
              <w:rPr>
                <w:sz w:val="20"/>
                <w:szCs w:val="20"/>
                <w:color w:val="auto"/>
              </w:rPr>
            </w:pPr>
            <w:r>
              <w:rPr>
                <w:rFonts w:ascii="Arial" w:cs="Arial" w:eastAsia="Arial" w:hAnsi="Arial"/>
                <w:sz w:val="14"/>
                <w:szCs w:val="14"/>
                <w:b w:val="1"/>
                <w:bCs w:val="1"/>
                <w:color w:val="auto"/>
                <w:w w:val="95"/>
              </w:rPr>
              <w:t>Comprehensive</w:t>
            </w:r>
          </w:p>
        </w:tc>
        <w:tc>
          <w:tcPr>
            <w:tcW w:w="920" w:type="dxa"/>
            <w:vAlign w:val="bottom"/>
            <w:gridSpan w:val="4"/>
          </w:tcPr>
          <w:p>
            <w:pPr>
              <w:ind w:left="6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2"/>
        </w:trPr>
        <w:tc>
          <w:tcPr>
            <w:tcW w:w="3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Borders>
              <w:top w:val="single" w:sz="8" w:color="auto"/>
            </w:tcBorders>
            <w:gridSpan w:val="2"/>
          </w:tcPr>
          <w:p>
            <w:pPr>
              <w:ind w:left="220"/>
              <w:spacing w:after="0" w:line="142" w:lineRule="exact"/>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w w:val="98"/>
              </w:rPr>
              <w:t>Amount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2"/>
                <w:szCs w:val="12"/>
                <w:color w:val="auto"/>
              </w:rPr>
            </w:pPr>
          </w:p>
        </w:tc>
        <w:tc>
          <w:tcPr>
            <w:tcW w:w="720" w:type="dxa"/>
            <w:vAlign w:val="bottom"/>
          </w:tcPr>
          <w:p>
            <w:pPr>
              <w:jc w:val="right"/>
              <w:ind w:right="131"/>
              <w:spacing w:after="0" w:line="142" w:lineRule="exact"/>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w w:val="85"/>
              </w:rPr>
              <w:t>Loss</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0"/>
        </w:trPr>
        <w:tc>
          <w:tcPr>
            <w:tcW w:w="3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2021</w:t>
            </w:r>
          </w:p>
        </w:tc>
        <w:tc>
          <w:tcPr>
            <w:tcW w:w="1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40,993,768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497,342</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(293,171)</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(5,040)</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199,135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ind w:left="120"/>
              <w:spacing w:after="0"/>
              <w:rPr>
                <w:sz w:val="20"/>
                <w:szCs w:val="20"/>
                <w:color w:val="auto"/>
              </w:rPr>
            </w:pPr>
            <w:r>
              <w:rPr>
                <w:rFonts w:ascii="Arial" w:cs="Arial" w:eastAsia="Arial" w:hAnsi="Arial"/>
                <w:sz w:val="18"/>
                <w:szCs w:val="18"/>
                <w:color w:val="auto"/>
              </w:rPr>
              <w:t>Stock-based compensation</w:t>
            </w:r>
          </w:p>
        </w:tc>
        <w:tc>
          <w:tcPr>
            <w:tcW w:w="1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2,033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Exercise of stock options</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95,771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800" w:type="dxa"/>
            <w:vAlign w:val="bottom"/>
          </w:tcPr>
          <w:p>
            <w:pPr>
              <w:ind w:left="120"/>
              <w:spacing w:after="0" w:line="201" w:lineRule="exact"/>
              <w:rPr>
                <w:sz w:val="20"/>
                <w:szCs w:val="20"/>
                <w:color w:val="auto"/>
              </w:rPr>
            </w:pPr>
            <w:r>
              <w:rPr>
                <w:rFonts w:ascii="Arial" w:cs="Arial" w:eastAsia="Arial" w:hAnsi="Arial"/>
                <w:sz w:val="18"/>
                <w:szCs w:val="18"/>
                <w:color w:val="auto"/>
              </w:rPr>
              <w:t>Vesting of restricted stock awards including</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0" w:type="dxa"/>
            <w:vAlign w:val="bottom"/>
          </w:tcPr>
          <w:p>
            <w:pPr>
              <w:ind w:left="120"/>
              <w:spacing w:after="0"/>
              <w:rPr>
                <w:sz w:val="20"/>
                <w:szCs w:val="20"/>
                <w:color w:val="auto"/>
              </w:rPr>
            </w:pPr>
            <w:r>
              <w:rPr>
                <w:rFonts w:ascii="Arial" w:cs="Arial" w:eastAsia="Arial" w:hAnsi="Arial"/>
                <w:sz w:val="18"/>
                <w:szCs w:val="18"/>
                <w:color w:val="auto"/>
              </w:rPr>
              <w:t>withholding, net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17,568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80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4"/>
              </w:rPr>
              <w:t>Issuance of common stock from Employee Stock</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 Plan</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16,450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800" w:type="dxa"/>
            <w:vAlign w:val="bottom"/>
          </w:tcPr>
          <w:p>
            <w:pPr>
              <w:ind w:left="120"/>
              <w:spacing w:after="0" w:line="201" w:lineRule="exact"/>
              <w:rPr>
                <w:sz w:val="20"/>
                <w:szCs w:val="20"/>
                <w:color w:val="auto"/>
              </w:rPr>
            </w:pPr>
            <w:r>
              <w:rPr>
                <w:rFonts w:ascii="Arial" w:cs="Arial" w:eastAsia="Arial" w:hAnsi="Arial"/>
                <w:sz w:val="18"/>
                <w:szCs w:val="18"/>
                <w:color w:val="auto"/>
              </w:rPr>
              <w:t>Issuance of common stock in at-the-market</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0" w:type="dxa"/>
            <w:vAlign w:val="bottom"/>
          </w:tcPr>
          <w:p>
            <w:pPr>
              <w:ind w:left="120"/>
              <w:spacing w:after="0"/>
              <w:rPr>
                <w:sz w:val="20"/>
                <w:szCs w:val="20"/>
                <w:color w:val="auto"/>
              </w:rPr>
            </w:pPr>
            <w:r>
              <w:rPr>
                <w:rFonts w:ascii="Arial" w:cs="Arial" w:eastAsia="Arial" w:hAnsi="Arial"/>
                <w:sz w:val="18"/>
                <w:szCs w:val="18"/>
                <w:color w:val="auto"/>
              </w:rPr>
              <w:t>offerings, net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335,485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2,990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2,990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80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Issuance of common stock upon exercise of</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warrants</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1,760,854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00" w:type="dxa"/>
            <w:vAlign w:val="bottom"/>
          </w:tcPr>
          <w:p>
            <w:pPr>
              <w:ind w:left="120"/>
              <w:spacing w:after="0"/>
              <w:rPr>
                <w:sz w:val="20"/>
                <w:szCs w:val="20"/>
                <w:color w:val="auto"/>
              </w:rPr>
            </w:pPr>
            <w:r>
              <w:rPr>
                <w:rFonts w:ascii="Arial" w:cs="Arial" w:eastAsia="Arial" w:hAnsi="Arial"/>
                <w:sz w:val="18"/>
                <w:szCs w:val="18"/>
                <w:color w:val="auto"/>
              </w:rPr>
              <w:t>Net loss</w:t>
            </w:r>
          </w:p>
        </w:tc>
        <w:tc>
          <w:tcPr>
            <w:tcW w:w="1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(19,430)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(19,430)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March 31, 2022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43,219,896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502,505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(312,601)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184,868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0" w:type="dxa"/>
            <w:vAlign w:val="bottom"/>
            <w:vMerge w:val="restart"/>
          </w:tcPr>
          <w:p>
            <w:pPr>
              <w:ind w:left="120"/>
              <w:spacing w:after="0"/>
              <w:rPr>
                <w:sz w:val="20"/>
                <w:szCs w:val="20"/>
                <w:color w:val="auto"/>
              </w:rPr>
            </w:pPr>
            <w:r>
              <w:rPr>
                <w:rFonts w:ascii="Arial" w:cs="Arial" w:eastAsia="Arial" w:hAnsi="Arial"/>
                <w:sz w:val="18"/>
                <w:szCs w:val="18"/>
                <w:color w:val="auto"/>
              </w:rPr>
              <w:t>Stock-based compensation</w:t>
            </w: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vMerge w:val="continue"/>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2,048</w:t>
            </w:r>
          </w:p>
        </w:tc>
        <w:tc>
          <w:tcPr>
            <w:tcW w:w="140" w:type="dxa"/>
            <w:vAlign w:val="bottom"/>
          </w:tcPr>
          <w:p>
            <w:pPr>
              <w:spacing w:after="0"/>
              <w:rPr>
                <w:sz w:val="17"/>
                <w:szCs w:val="17"/>
                <w:color w:val="auto"/>
              </w:rPr>
            </w:pPr>
          </w:p>
        </w:tc>
        <w:tc>
          <w:tcPr>
            <w:tcW w:w="120" w:type="dxa"/>
            <w:vAlign w:val="bottom"/>
          </w:tcPr>
          <w:p>
            <w:pPr>
              <w:ind w:left="2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vMerge w:val="continue"/>
          </w:tcPr>
          <w:p>
            <w:pPr>
              <w:spacing w:after="0"/>
              <w:rPr>
                <w:sz w:val="17"/>
                <w:szCs w:val="17"/>
                <w:color w:val="auto"/>
              </w:rPr>
            </w:pPr>
          </w:p>
        </w:tc>
        <w:tc>
          <w:tcPr>
            <w:tcW w:w="200" w:type="dxa"/>
            <w:vAlign w:val="bottom"/>
          </w:tcPr>
          <w:p>
            <w:pPr>
              <w:ind w:left="20"/>
              <w:spacing w:after="0" w:line="196"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8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160" w:type="dxa"/>
            <w:vAlign w:val="bottom"/>
          </w:tcPr>
          <w:p>
            <w:pPr>
              <w:ind w:left="20"/>
              <w:spacing w:after="0" w:line="196"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2,048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Exercise of stock options</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152,913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800" w:type="dxa"/>
            <w:vAlign w:val="bottom"/>
          </w:tcPr>
          <w:p>
            <w:pPr>
              <w:ind w:left="120"/>
              <w:spacing w:after="0" w:line="201" w:lineRule="exact"/>
              <w:rPr>
                <w:sz w:val="20"/>
                <w:szCs w:val="20"/>
                <w:color w:val="auto"/>
              </w:rPr>
            </w:pPr>
            <w:r>
              <w:rPr>
                <w:rFonts w:ascii="Arial" w:cs="Arial" w:eastAsia="Arial" w:hAnsi="Arial"/>
                <w:sz w:val="18"/>
                <w:szCs w:val="18"/>
                <w:color w:val="auto"/>
              </w:rPr>
              <w:t>Vesting of restricted stock awards including</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0" w:type="dxa"/>
            <w:vAlign w:val="bottom"/>
          </w:tcPr>
          <w:p>
            <w:pPr>
              <w:ind w:left="120"/>
              <w:spacing w:after="0"/>
              <w:rPr>
                <w:sz w:val="20"/>
                <w:szCs w:val="20"/>
                <w:color w:val="auto"/>
              </w:rPr>
            </w:pPr>
            <w:r>
              <w:rPr>
                <w:rFonts w:ascii="Arial" w:cs="Arial" w:eastAsia="Arial" w:hAnsi="Arial"/>
                <w:sz w:val="18"/>
                <w:szCs w:val="18"/>
                <w:color w:val="auto"/>
              </w:rPr>
              <w:t>withholding, net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(5,865)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80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Issuance of common stock in at-the-market</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offerings, net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2,157,717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21,346</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21,347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800" w:type="dxa"/>
            <w:vAlign w:val="bottom"/>
          </w:tcPr>
          <w:p>
            <w:pPr>
              <w:ind w:left="120"/>
              <w:spacing w:after="0" w:line="201" w:lineRule="exact"/>
              <w:rPr>
                <w:sz w:val="20"/>
                <w:szCs w:val="20"/>
                <w:color w:val="auto"/>
              </w:rPr>
            </w:pPr>
            <w:r>
              <w:rPr>
                <w:rFonts w:ascii="Arial" w:cs="Arial" w:eastAsia="Arial" w:hAnsi="Arial"/>
                <w:sz w:val="18"/>
                <w:szCs w:val="18"/>
                <w:color w:val="auto"/>
                <w:w w:val="96"/>
              </w:rPr>
              <w:t>Issuance of common stock related to contingent</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0" w:type="dxa"/>
            <w:vAlign w:val="bottom"/>
          </w:tcPr>
          <w:p>
            <w:pPr>
              <w:ind w:left="120"/>
              <w:spacing w:after="0"/>
              <w:rPr>
                <w:sz w:val="20"/>
                <w:szCs w:val="20"/>
                <w:color w:val="auto"/>
              </w:rPr>
            </w:pPr>
            <w:r>
              <w:rPr>
                <w:rFonts w:ascii="Arial" w:cs="Arial" w:eastAsia="Arial" w:hAnsi="Arial"/>
                <w:sz w:val="18"/>
                <w:szCs w:val="18"/>
                <w:color w:val="auto"/>
              </w:rPr>
              <w:t>consideration liability</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847,444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6,176</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6,176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4"/>
              </w:rPr>
              <w:t>Unrealized (loss) gain on short-term investments</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ind w:left="120"/>
              <w:spacing w:after="0"/>
              <w:rPr>
                <w:sz w:val="20"/>
                <w:szCs w:val="20"/>
                <w:color w:val="auto"/>
              </w:rPr>
            </w:pPr>
            <w:r>
              <w:rPr>
                <w:rFonts w:ascii="Arial" w:cs="Arial" w:eastAsia="Arial" w:hAnsi="Arial"/>
                <w:sz w:val="18"/>
                <w:szCs w:val="18"/>
                <w:color w:val="auto"/>
              </w:rPr>
              <w:t>Net loss</w:t>
            </w:r>
          </w:p>
        </w:tc>
        <w:tc>
          <w:tcPr>
            <w:tcW w:w="1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(20,107)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(20,107)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June 30, 2022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46,372,105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532,398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(332,708)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194,535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0" w:type="dxa"/>
            <w:vAlign w:val="bottom"/>
            <w:vMerge w:val="restart"/>
          </w:tcPr>
          <w:p>
            <w:pPr>
              <w:ind w:left="120"/>
              <w:spacing w:after="0"/>
              <w:rPr>
                <w:sz w:val="20"/>
                <w:szCs w:val="20"/>
                <w:color w:val="auto"/>
              </w:rPr>
            </w:pPr>
            <w:r>
              <w:rPr>
                <w:rFonts w:ascii="Arial" w:cs="Arial" w:eastAsia="Arial" w:hAnsi="Arial"/>
                <w:sz w:val="18"/>
                <w:szCs w:val="18"/>
                <w:color w:val="auto"/>
              </w:rPr>
              <w:t>Stock-based compensation</w:t>
            </w: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vMerge w:val="continue"/>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2,128</w:t>
            </w:r>
          </w:p>
        </w:tc>
        <w:tc>
          <w:tcPr>
            <w:tcW w:w="140" w:type="dxa"/>
            <w:vAlign w:val="bottom"/>
          </w:tcPr>
          <w:p>
            <w:pPr>
              <w:spacing w:after="0"/>
              <w:rPr>
                <w:sz w:val="17"/>
                <w:szCs w:val="17"/>
                <w:color w:val="auto"/>
              </w:rPr>
            </w:pPr>
          </w:p>
        </w:tc>
        <w:tc>
          <w:tcPr>
            <w:tcW w:w="120" w:type="dxa"/>
            <w:vAlign w:val="bottom"/>
          </w:tcPr>
          <w:p>
            <w:pPr>
              <w:ind w:left="2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vMerge w:val="continue"/>
          </w:tcPr>
          <w:p>
            <w:pPr>
              <w:spacing w:after="0"/>
              <w:rPr>
                <w:sz w:val="17"/>
                <w:szCs w:val="17"/>
                <w:color w:val="auto"/>
              </w:rPr>
            </w:pPr>
          </w:p>
        </w:tc>
        <w:tc>
          <w:tcPr>
            <w:tcW w:w="200" w:type="dxa"/>
            <w:vAlign w:val="bottom"/>
          </w:tcPr>
          <w:p>
            <w:pPr>
              <w:ind w:left="20"/>
              <w:spacing w:after="0" w:line="196"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8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160" w:type="dxa"/>
            <w:vAlign w:val="bottom"/>
          </w:tcPr>
          <w:p>
            <w:pPr>
              <w:ind w:left="20"/>
              <w:spacing w:after="0" w:line="196"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2,128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Exercise of stock options</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76,161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800" w:type="dxa"/>
            <w:vAlign w:val="bottom"/>
          </w:tcPr>
          <w:p>
            <w:pPr>
              <w:ind w:left="120"/>
              <w:spacing w:after="0" w:line="201" w:lineRule="exact"/>
              <w:rPr>
                <w:sz w:val="20"/>
                <w:szCs w:val="20"/>
                <w:color w:val="auto"/>
              </w:rPr>
            </w:pPr>
            <w:r>
              <w:rPr>
                <w:rFonts w:ascii="Arial" w:cs="Arial" w:eastAsia="Arial" w:hAnsi="Arial"/>
                <w:sz w:val="18"/>
                <w:szCs w:val="18"/>
                <w:color w:val="auto"/>
              </w:rPr>
              <w:t>Vesting of restricted stock awards including</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0" w:type="dxa"/>
            <w:vAlign w:val="bottom"/>
          </w:tcPr>
          <w:p>
            <w:pPr>
              <w:ind w:left="120"/>
              <w:spacing w:after="0"/>
              <w:rPr>
                <w:sz w:val="20"/>
                <w:szCs w:val="20"/>
                <w:color w:val="auto"/>
              </w:rPr>
            </w:pPr>
            <w:r>
              <w:rPr>
                <w:rFonts w:ascii="Arial" w:cs="Arial" w:eastAsia="Arial" w:hAnsi="Arial"/>
                <w:sz w:val="18"/>
                <w:szCs w:val="18"/>
                <w:color w:val="auto"/>
              </w:rPr>
              <w:t>withholding, net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(7,744)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80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Issuance of common stock in at-the-market</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offerings, net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2,711,013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31,829</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31,829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800" w:type="dxa"/>
            <w:vAlign w:val="bottom"/>
          </w:tcPr>
          <w:p>
            <w:pPr>
              <w:ind w:left="120"/>
              <w:spacing w:after="0" w:line="201" w:lineRule="exact"/>
              <w:rPr>
                <w:sz w:val="20"/>
                <w:szCs w:val="20"/>
                <w:color w:val="auto"/>
              </w:rPr>
            </w:pPr>
            <w:r>
              <w:rPr>
                <w:rFonts w:ascii="Arial" w:cs="Arial" w:eastAsia="Arial" w:hAnsi="Arial"/>
                <w:sz w:val="18"/>
                <w:szCs w:val="18"/>
                <w:color w:val="auto"/>
                <w:w w:val="94"/>
              </w:rPr>
              <w:t>Issuance of common stock from Employee Stock</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0" w:type="dxa"/>
            <w:vAlign w:val="bottom"/>
          </w:tcPr>
          <w:p>
            <w:pPr>
              <w:ind w:left="120"/>
              <w:spacing w:after="0"/>
              <w:rPr>
                <w:sz w:val="20"/>
                <w:szCs w:val="20"/>
                <w:color w:val="auto"/>
              </w:rPr>
            </w:pPr>
            <w:r>
              <w:rPr>
                <w:rFonts w:ascii="Arial" w:cs="Arial" w:eastAsia="Arial" w:hAnsi="Arial"/>
                <w:sz w:val="18"/>
                <w:szCs w:val="18"/>
                <w:color w:val="auto"/>
              </w:rPr>
              <w:t>Purchase Plan</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9,945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increase</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ind w:left="120"/>
              <w:spacing w:after="0"/>
              <w:rPr>
                <w:sz w:val="20"/>
                <w:szCs w:val="20"/>
                <w:color w:val="auto"/>
              </w:rPr>
            </w:pPr>
            <w:r>
              <w:rPr>
                <w:rFonts w:ascii="Arial" w:cs="Arial" w:eastAsia="Arial" w:hAnsi="Arial"/>
                <w:sz w:val="18"/>
                <w:szCs w:val="18"/>
                <w:color w:val="auto"/>
              </w:rPr>
              <w:t>Unrealized loss on short-term investments</w:t>
            </w:r>
          </w:p>
        </w:tc>
        <w:tc>
          <w:tcPr>
            <w:tcW w:w="1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(23,516)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(23,516)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0" w:type="dxa"/>
            <w:vAlign w:val="bottom"/>
          </w:tcPr>
          <w:p>
            <w:pPr>
              <w:spacing w:after="0"/>
              <w:rPr>
                <w:sz w:val="20"/>
                <w:szCs w:val="20"/>
                <w:color w:val="auto"/>
              </w:rPr>
            </w:pPr>
            <w:r>
              <w:rPr>
                <w:rFonts w:ascii="Arial" w:cs="Arial" w:eastAsia="Arial" w:hAnsi="Arial"/>
                <w:sz w:val="18"/>
                <w:szCs w:val="18"/>
                <w:b w:val="1"/>
                <w:bCs w:val="1"/>
                <w:color w:val="auto"/>
              </w:rPr>
              <w:t>Balance at September 30, 2022</w:t>
            </w:r>
          </w:p>
        </w:tc>
        <w:tc>
          <w:tcPr>
            <w:tcW w:w="18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49,161,637</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566,551</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(356,224)</w:t>
            </w: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(5,303)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205,029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The accompanying notes are an integral part of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357505</wp:posOffset>
            </wp:positionV>
            <wp:extent cx="622363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23635" cy="25400"/>
                    </a:xfrm>
                    <a:prstGeom prst="rect">
                      <a:avLst/>
                    </a:prstGeom>
                    <a:noFill/>
                  </pic:spPr>
                </pic:pic>
              </a:graphicData>
            </a:graphic>
          </wp:anchor>
        </w:drawing>
      </w:r>
    </w:p>
    <w:p>
      <w:pPr>
        <w:sectPr>
          <w:pgSz w:w="11900" w:h="16838" w:orient="portrait"/>
          <w:cols w:equalWidth="0" w:num="1">
            <w:col w:w="9820"/>
          </w:cols>
          <w:pgMar w:left="1040" w:top="125" w:right="10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ALTIMMUNE,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amounts)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3"/>
              </w:rPr>
              <w:t>Additional</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Accumulated</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5"/>
            <w:vMerge w:val="restart"/>
          </w:tcPr>
          <w:p>
            <w:pPr>
              <w:ind w:left="400"/>
              <w:spacing w:after="0"/>
              <w:rPr>
                <w:sz w:val="20"/>
                <w:szCs w:val="20"/>
                <w:color w:val="auto"/>
              </w:rPr>
            </w:pPr>
            <w:r>
              <w:rPr>
                <w:rFonts w:ascii="Arial" w:cs="Arial" w:eastAsia="Arial" w:hAnsi="Arial"/>
                <w:sz w:val="14"/>
                <w:szCs w:val="14"/>
                <w:b w:val="1"/>
                <w:bCs w:val="1"/>
                <w:color w:val="auto"/>
              </w:rPr>
              <w:t>Common Stock</w:t>
            </w:r>
          </w:p>
        </w:tc>
        <w:tc>
          <w:tcPr>
            <w:tcW w:w="980" w:type="dxa"/>
            <w:vAlign w:val="bottom"/>
            <w:gridSpan w:val="3"/>
            <w:vMerge w:val="continue"/>
          </w:tcPr>
          <w:p>
            <w:pPr>
              <w:spacing w:after="0"/>
              <w:rPr>
                <w:sz w:val="12"/>
                <w:szCs w:val="12"/>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Other</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5"/>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Paid-In</w:t>
            </w:r>
          </w:p>
        </w:tc>
        <w:tc>
          <w:tcPr>
            <w:tcW w:w="840" w:type="dxa"/>
            <w:vAlign w:val="bottom"/>
            <w:gridSpan w:val="2"/>
            <w:vMerge w:val="continue"/>
          </w:tcPr>
          <w:p>
            <w:pPr>
              <w:spacing w:after="0"/>
              <w:rPr>
                <w:sz w:val="14"/>
                <w:szCs w:val="14"/>
                <w:color w:val="auto"/>
              </w:rPr>
            </w:pPr>
          </w:p>
        </w:tc>
        <w:tc>
          <w:tcPr>
            <w:tcW w:w="1180" w:type="dxa"/>
            <w:vAlign w:val="bottom"/>
            <w:gridSpan w:val="4"/>
          </w:tcPr>
          <w:p>
            <w:pPr>
              <w:ind w:left="160"/>
              <w:spacing w:after="0"/>
              <w:rPr>
                <w:sz w:val="20"/>
                <w:szCs w:val="20"/>
                <w:color w:val="auto"/>
              </w:rPr>
            </w:pPr>
            <w:r>
              <w:rPr>
                <w:rFonts w:ascii="Arial" w:cs="Arial" w:eastAsia="Arial" w:hAnsi="Arial"/>
                <w:sz w:val="14"/>
                <w:szCs w:val="14"/>
                <w:b w:val="1"/>
                <w:bCs w:val="1"/>
                <w:color w:val="auto"/>
                <w:w w:val="95"/>
              </w:rPr>
              <w:t>Comprehensive</w:t>
            </w:r>
          </w:p>
        </w:tc>
        <w:tc>
          <w:tcPr>
            <w:tcW w:w="920" w:type="dxa"/>
            <w:vAlign w:val="bottom"/>
            <w:gridSpan w:val="4"/>
          </w:tcPr>
          <w:p>
            <w:pPr>
              <w:ind w:left="6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2"/>
        </w:trPr>
        <w:tc>
          <w:tcPr>
            <w:tcW w:w="3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Borders>
              <w:top w:val="single" w:sz="8" w:color="auto"/>
            </w:tcBorders>
            <w:gridSpan w:val="2"/>
          </w:tcPr>
          <w:p>
            <w:pPr>
              <w:ind w:left="220"/>
              <w:spacing w:after="0" w:line="142" w:lineRule="exact"/>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w w:val="98"/>
              </w:rPr>
              <w:t>Amount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2"/>
                <w:szCs w:val="12"/>
                <w:color w:val="auto"/>
              </w:rPr>
            </w:pPr>
          </w:p>
        </w:tc>
        <w:tc>
          <w:tcPr>
            <w:tcW w:w="720" w:type="dxa"/>
            <w:vAlign w:val="bottom"/>
          </w:tcPr>
          <w:p>
            <w:pPr>
              <w:jc w:val="right"/>
              <w:ind w:right="131"/>
              <w:spacing w:after="0" w:line="142" w:lineRule="exact"/>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w w:val="85"/>
              </w:rPr>
              <w:t>Loss</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09"/>
        </w:trPr>
        <w:tc>
          <w:tcPr>
            <w:tcW w:w="3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2020</w:t>
            </w: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37,142,946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417,337</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(186,421)</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(5,044)</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225,876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120"/>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1,218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88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Vesting of restricted stock awards including</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withholding, net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(6,349)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880" w:type="dxa"/>
            <w:vAlign w:val="bottom"/>
          </w:tcPr>
          <w:p>
            <w:pPr>
              <w:ind w:left="120"/>
              <w:spacing w:after="0" w:line="201" w:lineRule="exact"/>
              <w:rPr>
                <w:sz w:val="20"/>
                <w:szCs w:val="20"/>
                <w:color w:val="auto"/>
              </w:rPr>
            </w:pPr>
            <w:r>
              <w:rPr>
                <w:rFonts w:ascii="Arial" w:cs="Arial" w:eastAsia="Arial" w:hAnsi="Arial"/>
                <w:sz w:val="18"/>
                <w:szCs w:val="18"/>
                <w:color w:val="auto"/>
                <w:w w:val="96"/>
              </w:rPr>
              <w:t>Issuance of common stock from Employee Stock</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120"/>
              <w:spacing w:after="0"/>
              <w:rPr>
                <w:sz w:val="20"/>
                <w:szCs w:val="20"/>
                <w:color w:val="auto"/>
              </w:rPr>
            </w:pPr>
            <w:r>
              <w:rPr>
                <w:rFonts w:ascii="Arial" w:cs="Arial" w:eastAsia="Arial" w:hAnsi="Arial"/>
                <w:sz w:val="18"/>
                <w:szCs w:val="18"/>
                <w:color w:val="auto"/>
              </w:rPr>
              <w:t>Purchase Plan</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8,733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106</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88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Retirement of common stock in exchange for</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common stock warrant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(7,540)</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(9,660)</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(17,200)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880" w:type="dxa"/>
            <w:vAlign w:val="bottom"/>
          </w:tcPr>
          <w:p>
            <w:pPr>
              <w:ind w:left="120"/>
              <w:spacing w:after="0" w:line="201" w:lineRule="exact"/>
              <w:rPr>
                <w:sz w:val="20"/>
                <w:szCs w:val="20"/>
                <w:color w:val="auto"/>
              </w:rPr>
            </w:pPr>
            <w:r>
              <w:rPr>
                <w:rFonts w:ascii="Arial" w:cs="Arial" w:eastAsia="Arial" w:hAnsi="Arial"/>
                <w:sz w:val="18"/>
                <w:szCs w:val="18"/>
                <w:color w:val="auto"/>
                <w:w w:val="92"/>
              </w:rPr>
              <w:t>Issuance of common stock warrant in exchange for</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120"/>
              <w:spacing w:after="0"/>
              <w:rPr>
                <w:sz w:val="20"/>
                <w:szCs w:val="20"/>
                <w:color w:val="auto"/>
              </w:rPr>
            </w:pPr>
            <w:r>
              <w:rPr>
                <w:rFonts w:ascii="Arial" w:cs="Arial" w:eastAsia="Arial" w:hAnsi="Arial"/>
                <w:sz w:val="18"/>
                <w:szCs w:val="18"/>
                <w:color w:val="auto"/>
              </w:rPr>
              <w:t>retirement of common stock</w:t>
            </w:r>
          </w:p>
        </w:tc>
        <w:tc>
          <w:tcPr>
            <w:tcW w:w="10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17,200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17,200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88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Issuance of common stock in at-the-market</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offerings, net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2,110,800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34,178</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34,178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880" w:type="dxa"/>
            <w:vAlign w:val="bottom"/>
          </w:tcPr>
          <w:p>
            <w:pPr>
              <w:ind w:left="120"/>
              <w:spacing w:after="0" w:line="201" w:lineRule="exact"/>
              <w:rPr>
                <w:sz w:val="20"/>
                <w:szCs w:val="20"/>
                <w:color w:val="auto"/>
              </w:rPr>
            </w:pPr>
            <w:r>
              <w:rPr>
                <w:rFonts w:ascii="Arial" w:cs="Arial" w:eastAsia="Arial" w:hAnsi="Arial"/>
                <w:sz w:val="18"/>
                <w:szCs w:val="18"/>
                <w:color w:val="auto"/>
                <w:w w:val="92"/>
              </w:rPr>
              <w:t>Issuance of common stock upon cashless exercise</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120"/>
              <w:spacing w:after="0"/>
              <w:rPr>
                <w:sz w:val="20"/>
                <w:szCs w:val="20"/>
                <w:color w:val="auto"/>
              </w:rPr>
            </w:pPr>
            <w:r>
              <w:rPr>
                <w:rFonts w:ascii="Arial" w:cs="Arial" w:eastAsia="Arial" w:hAnsi="Arial"/>
                <w:sz w:val="18"/>
                <w:szCs w:val="18"/>
                <w:color w:val="auto"/>
              </w:rPr>
              <w:t>of warrants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Unrealized gain on short-term investments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120"/>
              <w:spacing w:after="0"/>
              <w:rPr>
                <w:sz w:val="20"/>
                <w:szCs w:val="20"/>
                <w:color w:val="auto"/>
              </w:rPr>
            </w:pPr>
            <w:r>
              <w:rPr>
                <w:rFonts w:ascii="Arial" w:cs="Arial" w:eastAsia="Arial" w:hAnsi="Arial"/>
                <w:sz w:val="18"/>
                <w:szCs w:val="18"/>
                <w:color w:val="auto"/>
              </w:rPr>
              <w:t>Net loss</w:t>
            </w: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(14,864)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(14,864)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March 31, 2021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38,257,180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462,417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(210,945)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246,437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vMerge w:val="restart"/>
          </w:tcPr>
          <w:p>
            <w:pPr>
              <w:ind w:left="120"/>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vMerge w:val="continue"/>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1,485</w:t>
            </w:r>
          </w:p>
        </w:tc>
        <w:tc>
          <w:tcPr>
            <w:tcW w:w="140" w:type="dxa"/>
            <w:vAlign w:val="bottom"/>
          </w:tcPr>
          <w:p>
            <w:pPr>
              <w:spacing w:after="0"/>
              <w:rPr>
                <w:sz w:val="17"/>
                <w:szCs w:val="17"/>
                <w:color w:val="auto"/>
              </w:rPr>
            </w:pPr>
          </w:p>
        </w:tc>
        <w:tc>
          <w:tcPr>
            <w:tcW w:w="120" w:type="dxa"/>
            <w:vAlign w:val="bottom"/>
          </w:tcPr>
          <w:p>
            <w:pPr>
              <w:ind w:left="2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vMerge w:val="continue"/>
          </w:tcPr>
          <w:p>
            <w:pPr>
              <w:spacing w:after="0"/>
              <w:rPr>
                <w:sz w:val="17"/>
                <w:szCs w:val="17"/>
                <w:color w:val="auto"/>
              </w:rPr>
            </w:pPr>
          </w:p>
        </w:tc>
        <w:tc>
          <w:tcPr>
            <w:tcW w:w="200" w:type="dxa"/>
            <w:vAlign w:val="bottom"/>
          </w:tcPr>
          <w:p>
            <w:pPr>
              <w:ind w:left="20"/>
              <w:spacing w:after="0" w:line="196"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8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160" w:type="dxa"/>
            <w:vAlign w:val="bottom"/>
          </w:tcPr>
          <w:p>
            <w:pPr>
              <w:ind w:left="20"/>
              <w:spacing w:after="0" w:line="196"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1,485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Exercise of stock options</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38,217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880" w:type="dxa"/>
            <w:vAlign w:val="bottom"/>
          </w:tcPr>
          <w:p>
            <w:pPr>
              <w:ind w:left="120"/>
              <w:spacing w:after="0" w:line="201" w:lineRule="exact"/>
              <w:rPr>
                <w:sz w:val="20"/>
                <w:szCs w:val="20"/>
                <w:color w:val="auto"/>
              </w:rPr>
            </w:pPr>
            <w:r>
              <w:rPr>
                <w:rFonts w:ascii="Arial" w:cs="Arial" w:eastAsia="Arial" w:hAnsi="Arial"/>
                <w:sz w:val="18"/>
                <w:szCs w:val="18"/>
                <w:color w:val="auto"/>
              </w:rPr>
              <w:t>Vesting of restricted stock awards including</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120"/>
              <w:spacing w:after="0"/>
              <w:rPr>
                <w:sz w:val="20"/>
                <w:szCs w:val="20"/>
                <w:color w:val="auto"/>
              </w:rPr>
            </w:pPr>
            <w:r>
              <w:rPr>
                <w:rFonts w:ascii="Arial" w:cs="Arial" w:eastAsia="Arial" w:hAnsi="Arial"/>
                <w:sz w:val="18"/>
                <w:szCs w:val="18"/>
                <w:color w:val="auto"/>
              </w:rPr>
              <w:t>withholding, net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(7,583)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88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Issuance of common stock in at-the-market</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offerings, net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1,405,710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18,178</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120"/>
              <w:spacing w:after="0"/>
              <w:rPr>
                <w:sz w:val="20"/>
                <w:szCs w:val="20"/>
                <w:color w:val="auto"/>
              </w:rPr>
            </w:pPr>
            <w:r>
              <w:rPr>
                <w:rFonts w:ascii="Arial" w:cs="Arial" w:eastAsia="Arial" w:hAnsi="Arial"/>
                <w:sz w:val="18"/>
                <w:szCs w:val="18"/>
                <w:color w:val="auto"/>
                <w:w w:val="96"/>
              </w:rPr>
              <w:t>Unrealized (loss) gain on short-term investments</w:t>
            </w: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(24,827)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(24,827)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8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Balance at June 30, 2021</w:t>
            </w:r>
          </w:p>
        </w:tc>
        <w:tc>
          <w:tcPr>
            <w:tcW w:w="100" w:type="dxa"/>
            <w:vAlign w:val="bottom"/>
            <w:tcBorders>
              <w:bottom w:val="single" w:sz="8" w:color="CCEEFF"/>
            </w:tcBorders>
          </w:tcPr>
          <w:p>
            <w:pPr>
              <w:spacing w:after="0"/>
              <w:rPr>
                <w:sz w:val="21"/>
                <w:szCs w:val="2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39,693,524</w:t>
            </w: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482,084</w:t>
            </w:r>
          </w:p>
        </w:tc>
        <w:tc>
          <w:tcPr>
            <w:tcW w:w="1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(235,772)</w:t>
            </w:r>
          </w:p>
        </w:tc>
        <w:tc>
          <w:tcPr>
            <w:tcW w:w="16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(5,038)</w:t>
            </w:r>
          </w:p>
        </w:tc>
        <w:tc>
          <w:tcPr>
            <w:tcW w:w="8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241,278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88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1,497</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1,497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120"/>
              <w:spacing w:after="0"/>
              <w:rPr>
                <w:sz w:val="20"/>
                <w:szCs w:val="20"/>
                <w:color w:val="auto"/>
              </w:rPr>
            </w:pPr>
            <w:r>
              <w:rPr>
                <w:rFonts w:ascii="Arial" w:cs="Arial" w:eastAsia="Arial" w:hAnsi="Arial"/>
                <w:sz w:val="18"/>
                <w:szCs w:val="18"/>
                <w:color w:val="auto"/>
              </w:rPr>
              <w:t>Exercise of stock options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88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Vesting of restricted stock awards including</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withholding, net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(6,521)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880" w:type="dxa"/>
            <w:vAlign w:val="bottom"/>
          </w:tcPr>
          <w:p>
            <w:pPr>
              <w:ind w:left="120"/>
              <w:spacing w:after="0" w:line="201" w:lineRule="exact"/>
              <w:rPr>
                <w:sz w:val="20"/>
                <w:szCs w:val="20"/>
                <w:color w:val="auto"/>
              </w:rPr>
            </w:pPr>
            <w:r>
              <w:rPr>
                <w:rFonts w:ascii="Arial" w:cs="Arial" w:eastAsia="Arial" w:hAnsi="Arial"/>
                <w:sz w:val="18"/>
                <w:szCs w:val="18"/>
                <w:color w:val="auto"/>
                <w:w w:val="96"/>
              </w:rPr>
              <w:t>Issuance of common stock from Employee Stock</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120"/>
              <w:spacing w:after="0"/>
              <w:rPr>
                <w:sz w:val="20"/>
                <w:szCs w:val="20"/>
                <w:color w:val="auto"/>
              </w:rPr>
            </w:pPr>
            <w:r>
              <w:rPr>
                <w:rFonts w:ascii="Arial" w:cs="Arial" w:eastAsia="Arial" w:hAnsi="Arial"/>
                <w:sz w:val="18"/>
                <w:szCs w:val="18"/>
                <w:color w:val="auto"/>
              </w:rPr>
              <w:t>Purchase Plan</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15,367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119</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Unrealized loss on short-term investments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120"/>
              <w:spacing w:after="0"/>
              <w:rPr>
                <w:sz w:val="20"/>
                <w:szCs w:val="20"/>
                <w:color w:val="auto"/>
              </w:rPr>
            </w:pPr>
            <w:r>
              <w:rPr>
                <w:rFonts w:ascii="Arial" w:cs="Arial" w:eastAsia="Arial" w:hAnsi="Arial"/>
                <w:sz w:val="18"/>
                <w:szCs w:val="18"/>
                <w:color w:val="auto"/>
              </w:rPr>
              <w:t>Net loss</w:t>
            </w: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(33,510)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(33,510)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September 30, 2021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39,702,768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483,582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(269,282)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209,264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1740"/>
        <w:spacing w:after="0"/>
        <w:rPr>
          <w:sz w:val="20"/>
          <w:szCs w:val="20"/>
          <w:color w:val="auto"/>
        </w:rPr>
      </w:pPr>
      <w:r>
        <w:rPr>
          <w:rFonts w:ascii="Arial" w:cs="Arial" w:eastAsia="Arial" w:hAnsi="Arial"/>
          <w:sz w:val="18"/>
          <w:szCs w:val="18"/>
          <w:i w:val="1"/>
          <w:iCs w:val="1"/>
          <w:color w:val="auto"/>
        </w:rPr>
        <w:t>The accompanying notes are an integral part of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357505</wp:posOffset>
            </wp:positionV>
            <wp:extent cx="622363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23635" cy="25400"/>
                    </a:xfrm>
                    <a:prstGeom prst="rect">
                      <a:avLst/>
                    </a:prstGeom>
                    <a:noFill/>
                  </pic:spPr>
                </pic:pic>
              </a:graphicData>
            </a:graphic>
          </wp:anchor>
        </w:drawing>
      </w:r>
    </w:p>
    <w:p>
      <w:pPr>
        <w:sectPr>
          <w:pgSz w:w="11900" w:h="16838" w:orient="portrait"/>
          <w:cols w:equalWidth="0" w:num="1">
            <w:col w:w="9820"/>
          </w:cols>
          <w:pgMar w:left="1040" w:top="125" w:right="1039" w:bottom="1440" w:gutter="0" w:footer="0" w:header="0"/>
        </w:sectPr>
      </w:pPr>
    </w:p>
    <w:bookmarkStart w:id="6" w:name="page7"/>
    <w:bookmarkEnd w:id="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ALTIMMUNE,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6420" w:type="dxa"/>
            <w:vAlign w:val="bottom"/>
          </w:tcPr>
          <w:p>
            <w:pPr>
              <w:spacing w:after="0"/>
              <w:rPr>
                <w:sz w:val="18"/>
                <w:szCs w:val="18"/>
                <w:color w:val="auto"/>
              </w:rPr>
            </w:pPr>
          </w:p>
        </w:tc>
        <w:tc>
          <w:tcPr>
            <w:tcW w:w="2480" w:type="dxa"/>
            <w:vAlign w:val="bottom"/>
            <w:tcBorders>
              <w:bottom w:val="single" w:sz="8" w:color="auto"/>
            </w:tcBorders>
            <w:gridSpan w:val="5"/>
          </w:tcPr>
          <w:p>
            <w:pPr>
              <w:ind w:left="20"/>
              <w:spacing w:after="0"/>
              <w:rPr>
                <w:sz w:val="20"/>
                <w:szCs w:val="20"/>
                <w:color w:val="auto"/>
              </w:rPr>
            </w:pPr>
            <w:r>
              <w:rPr>
                <w:rFonts w:ascii="Arial" w:cs="Arial" w:eastAsia="Arial" w:hAnsi="Arial"/>
                <w:sz w:val="16"/>
                <w:szCs w:val="16"/>
                <w:b w:val="1"/>
                <w:bCs w:val="1"/>
                <w:color w:val="auto"/>
                <w:w w:val="92"/>
              </w:rPr>
              <w:t>Nine Months Ended September 30,</w:t>
            </w:r>
          </w:p>
        </w:tc>
      </w:tr>
      <w:tr>
        <w:trPr>
          <w:trHeight w:val="199"/>
        </w:trPr>
        <w:tc>
          <w:tcPr>
            <w:tcW w:w="64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6"/>
                <w:szCs w:val="16"/>
                <w:b w:val="1"/>
                <w:bCs w:val="1"/>
                <w:color w:val="auto"/>
              </w:rPr>
              <w:t>2022</w:t>
            </w:r>
          </w:p>
        </w:tc>
        <w:tc>
          <w:tcPr>
            <w:tcW w:w="2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6"/>
                <w:szCs w:val="16"/>
                <w:b w:val="1"/>
                <w:bCs w:val="1"/>
                <w:color w:val="auto"/>
              </w:rPr>
              <w:t>2021</w:t>
            </w:r>
          </w:p>
        </w:tc>
      </w:tr>
      <w:tr>
        <w:trPr>
          <w:trHeight w:val="209"/>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6420" w:type="dxa"/>
            <w:vAlign w:val="bottom"/>
          </w:tcPr>
          <w:p>
            <w:pPr>
              <w:ind w:left="120"/>
              <w:spacing w:after="0"/>
              <w:rPr>
                <w:sz w:val="20"/>
                <w:szCs w:val="20"/>
                <w:color w:val="auto"/>
              </w:rPr>
            </w:pPr>
            <w:r>
              <w:rPr>
                <w:rFonts w:ascii="Arial" w:cs="Arial" w:eastAsia="Arial" w:hAnsi="Arial"/>
                <w:sz w:val="18"/>
                <w:szCs w:val="18"/>
                <w:color w:val="auto"/>
              </w:rPr>
              <w:t>Net loss</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(63,053)</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(73,201)</w:t>
            </w:r>
          </w:p>
        </w:tc>
      </w:tr>
      <w:tr>
        <w:trPr>
          <w:trHeight w:val="216"/>
        </w:trPr>
        <w:tc>
          <w:tcPr>
            <w:tcW w:w="6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6420" w:type="dxa"/>
            <w:vAlign w:val="bottom"/>
          </w:tcPr>
          <w:p>
            <w:pPr>
              <w:ind w:left="220"/>
              <w:spacing w:after="0"/>
              <w:rPr>
                <w:sz w:val="20"/>
                <w:szCs w:val="20"/>
                <w:color w:val="auto"/>
              </w:rPr>
            </w:pPr>
            <w:r>
              <w:rPr>
                <w:rFonts w:ascii="Arial" w:cs="Arial" w:eastAsia="Arial" w:hAnsi="Arial"/>
                <w:sz w:val="18"/>
                <w:szCs w:val="18"/>
                <w:color w:val="auto"/>
              </w:rPr>
              <w:t>Change in fair value of contingent consideration liability</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1,560</w:t>
            </w:r>
          </w:p>
        </w:tc>
      </w:tr>
      <w:tr>
        <w:trPr>
          <w:trHeight w:val="216"/>
        </w:trPr>
        <w:tc>
          <w:tcPr>
            <w:tcW w:w="6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Impairment loss on construction-in-progress</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8,070</w:t>
            </w:r>
          </w:p>
        </w:tc>
      </w:tr>
      <w:tr>
        <w:trPr>
          <w:trHeight w:val="216"/>
        </w:trPr>
        <w:tc>
          <w:tcPr>
            <w:tcW w:w="642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6,209</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4,200</w:t>
            </w:r>
          </w:p>
        </w:tc>
      </w:tr>
      <w:tr>
        <w:trPr>
          <w:trHeight w:val="216"/>
        </w:trPr>
        <w:tc>
          <w:tcPr>
            <w:tcW w:w="6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r>
      <w:tr>
        <w:trPr>
          <w:trHeight w:val="216"/>
        </w:trPr>
        <w:tc>
          <w:tcPr>
            <w:tcW w:w="6420" w:type="dxa"/>
            <w:vAlign w:val="bottom"/>
          </w:tcPr>
          <w:p>
            <w:pPr>
              <w:ind w:left="220"/>
              <w:spacing w:after="0"/>
              <w:rPr>
                <w:sz w:val="20"/>
                <w:szCs w:val="20"/>
                <w:color w:val="auto"/>
              </w:rPr>
            </w:pPr>
            <w:r>
              <w:rPr>
                <w:rFonts w:ascii="Arial" w:cs="Arial" w:eastAsia="Arial" w:hAnsi="Arial"/>
                <w:sz w:val="18"/>
                <w:szCs w:val="18"/>
                <w:color w:val="auto"/>
              </w:rPr>
              <w:t>Unrealized (gains) losses on foreign currency exchange</w:t>
            </w: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(183)</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297</w:t>
            </w:r>
          </w:p>
        </w:tc>
      </w:tr>
      <w:tr>
        <w:trPr>
          <w:trHeight w:val="216"/>
        </w:trPr>
        <w:tc>
          <w:tcPr>
            <w:tcW w:w="6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Changes in operating assets and liabilities: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642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(204)</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3,036</w:t>
            </w:r>
          </w:p>
        </w:tc>
      </w:tr>
      <w:tr>
        <w:trPr>
          <w:trHeight w:val="216"/>
        </w:trPr>
        <w:tc>
          <w:tcPr>
            <w:tcW w:w="6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assets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3,204</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(5,263)</w:t>
            </w:r>
          </w:p>
        </w:tc>
      </w:tr>
      <w:tr>
        <w:trPr>
          <w:trHeight w:val="216"/>
        </w:trPr>
        <w:tc>
          <w:tcPr>
            <w:tcW w:w="642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(615)</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(606)</w:t>
            </w:r>
          </w:p>
        </w:tc>
      </w:tr>
      <w:tr>
        <w:trPr>
          <w:trHeight w:val="216"/>
        </w:trPr>
        <w:tc>
          <w:tcPr>
            <w:tcW w:w="6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 and other liabilities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7,555</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6,916</w:t>
            </w:r>
          </w:p>
        </w:tc>
      </w:tr>
      <w:tr>
        <w:trPr>
          <w:trHeight w:val="216"/>
        </w:trPr>
        <w:tc>
          <w:tcPr>
            <w:tcW w:w="64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Income tax and R&amp;D incentive receivables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1,690</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(1,714)</w:t>
            </w:r>
          </w:p>
        </w:tc>
      </w:tr>
      <w:tr>
        <w:trPr>
          <w:trHeight w:val="210"/>
        </w:trPr>
        <w:tc>
          <w:tcPr>
            <w:tcW w:w="64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cash used in operating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(45,280)</w:t>
            </w: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(56,271)</w:t>
            </w:r>
          </w:p>
        </w:tc>
      </w:tr>
      <w:tr>
        <w:trPr>
          <w:trHeight w:val="209"/>
        </w:trPr>
        <w:tc>
          <w:tcPr>
            <w:tcW w:w="642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6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Proceeds from sales and maturities of short-term investments</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82,406</w:t>
            </w:r>
          </w:p>
        </w:tc>
      </w:tr>
      <w:tr>
        <w:trPr>
          <w:trHeight w:val="216"/>
        </w:trPr>
        <w:tc>
          <w:tcPr>
            <w:tcW w:w="6420" w:type="dxa"/>
            <w:vAlign w:val="bottom"/>
          </w:tcPr>
          <w:p>
            <w:pPr>
              <w:ind w:left="120"/>
              <w:spacing w:after="0"/>
              <w:rPr>
                <w:sz w:val="20"/>
                <w:szCs w:val="20"/>
                <w:color w:val="auto"/>
              </w:rPr>
            </w:pPr>
            <w:r>
              <w:rPr>
                <w:rFonts w:ascii="Arial" w:cs="Arial" w:eastAsia="Arial" w:hAnsi="Arial"/>
                <w:sz w:val="18"/>
                <w:szCs w:val="18"/>
                <w:color w:val="auto"/>
              </w:rPr>
              <w:t>Purchases of short-term investments</w:t>
            </w: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(74,292)</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(7,592)</w:t>
            </w:r>
          </w:p>
        </w:tc>
      </w:tr>
      <w:tr>
        <w:trPr>
          <w:trHeight w:val="216"/>
        </w:trPr>
        <w:tc>
          <w:tcPr>
            <w:tcW w:w="6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Purchases of property and equipment, net</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(11,970)</w:t>
            </w:r>
          </w:p>
        </w:tc>
      </w:tr>
      <w:tr>
        <w:trPr>
          <w:trHeight w:val="216"/>
        </w:trPr>
        <w:tc>
          <w:tcPr>
            <w:tcW w:w="6420" w:type="dxa"/>
            <w:vAlign w:val="bottom"/>
          </w:tcPr>
          <w:p>
            <w:pPr>
              <w:ind w:left="120"/>
              <w:spacing w:after="0"/>
              <w:rPr>
                <w:sz w:val="20"/>
                <w:szCs w:val="20"/>
                <w:color w:val="auto"/>
              </w:rPr>
            </w:pPr>
            <w:r>
              <w:rPr>
                <w:rFonts w:ascii="Arial" w:cs="Arial" w:eastAsia="Arial" w:hAnsi="Arial"/>
                <w:sz w:val="18"/>
                <w:szCs w:val="18"/>
                <w:color w:val="auto"/>
              </w:rPr>
              <w:t>Cash paid for internally developed patents</w:t>
            </w:r>
          </w:p>
        </w:tc>
        <w:tc>
          <w:tcPr>
            <w:tcW w:w="26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(190)</w:t>
            </w:r>
          </w:p>
        </w:tc>
      </w:tr>
      <w:tr>
        <w:trPr>
          <w:trHeight w:val="210"/>
        </w:trPr>
        <w:tc>
          <w:tcPr>
            <w:tcW w:w="6420" w:type="dxa"/>
            <w:vAlign w:val="bottom"/>
            <w:tcBorders>
              <w:top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Net cash (used in) provided by investing activities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(74,380)</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62,654</w:t>
            </w:r>
          </w:p>
        </w:tc>
      </w:tr>
      <w:tr>
        <w:trPr>
          <w:trHeight w:val="209"/>
        </w:trPr>
        <w:tc>
          <w:tcPr>
            <w:tcW w:w="642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6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Payments of deferred offering costs</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216"/>
        </w:trPr>
        <w:tc>
          <w:tcPr>
            <w:tcW w:w="6420" w:type="dxa"/>
            <w:vAlign w:val="bottom"/>
          </w:tcPr>
          <w:p>
            <w:pPr>
              <w:ind w:left="120"/>
              <w:spacing w:after="0"/>
              <w:rPr>
                <w:sz w:val="20"/>
                <w:szCs w:val="20"/>
                <w:color w:val="auto"/>
              </w:rPr>
            </w:pPr>
            <w:r>
              <w:rPr>
                <w:rFonts w:ascii="Arial" w:cs="Arial" w:eastAsia="Arial" w:hAnsi="Arial"/>
                <w:sz w:val="18"/>
                <w:szCs w:val="18"/>
                <w:color w:val="auto"/>
              </w:rPr>
              <w:t>Proceeds from issuance of common stock in at-the-market offerings, net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56,166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52,356</w:t>
            </w:r>
          </w:p>
        </w:tc>
      </w:tr>
      <w:tr>
        <w:trPr>
          <w:trHeight w:val="216"/>
        </w:trPr>
        <w:tc>
          <w:tcPr>
            <w:tcW w:w="64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Proceeds from issuance of common stock from Employee Stock Purchase Plan</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r>
      <w:tr>
        <w:trPr>
          <w:trHeight w:val="216"/>
        </w:trPr>
        <w:tc>
          <w:tcPr>
            <w:tcW w:w="64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Proceeds from exercises of stock options, net</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10"/>
        </w:trPr>
        <w:tc>
          <w:tcPr>
            <w:tcW w:w="64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cash provided by financing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56,824</w:t>
            </w: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52,563</w:t>
            </w:r>
          </w:p>
        </w:tc>
      </w:tr>
      <w:tr>
        <w:trPr>
          <w:trHeight w:val="209"/>
        </w:trPr>
        <w:tc>
          <w:tcPr>
            <w:tcW w:w="6420" w:type="dxa"/>
            <w:vAlign w:val="bottom"/>
          </w:tcPr>
          <w:p>
            <w:pPr>
              <w:ind w:left="20"/>
              <w:spacing w:after="0"/>
              <w:rPr>
                <w:sz w:val="20"/>
                <w:szCs w:val="20"/>
                <w:color w:val="auto"/>
              </w:rPr>
            </w:pPr>
            <w:r>
              <w:rPr>
                <w:rFonts w:ascii="Arial" w:cs="Arial" w:eastAsia="Arial" w:hAnsi="Arial"/>
                <w:sz w:val="18"/>
                <w:szCs w:val="18"/>
                <w:color w:val="auto"/>
              </w:rPr>
              <w:t>Net (decrease) increase in cash and cash equivalents and restricted cash</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(62,836)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58,946</w:t>
            </w:r>
          </w:p>
        </w:tc>
      </w:tr>
      <w:tr>
        <w:trPr>
          <w:trHeight w:val="216"/>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190,335</w:t>
            </w: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115,952</w:t>
            </w:r>
          </w:p>
        </w:tc>
      </w:tr>
      <w:tr>
        <w:trPr>
          <w:trHeight w:val="249"/>
        </w:trPr>
        <w:tc>
          <w:tcPr>
            <w:tcW w:w="6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127,499</w:t>
            </w:r>
          </w:p>
        </w:tc>
        <w:tc>
          <w:tcPr>
            <w:tcW w:w="2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174,898</w:t>
            </w:r>
          </w:p>
        </w:tc>
      </w:tr>
      <w:tr>
        <w:trPr>
          <w:trHeight w:val="197"/>
        </w:trPr>
        <w:tc>
          <w:tcPr>
            <w:tcW w:w="6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16"/>
        </w:trPr>
        <w:tc>
          <w:tcPr>
            <w:tcW w:w="6420" w:type="dxa"/>
            <w:vAlign w:val="bottom"/>
          </w:tcPr>
          <w:p>
            <w:pPr>
              <w:ind w:left="20"/>
              <w:spacing w:after="0"/>
              <w:rPr>
                <w:sz w:val="20"/>
                <w:szCs w:val="20"/>
                <w:color w:val="auto"/>
              </w:rPr>
            </w:pPr>
            <w:r>
              <w:rPr>
                <w:rFonts w:ascii="Arial" w:cs="Arial" w:eastAsia="Arial" w:hAnsi="Arial"/>
                <w:sz w:val="18"/>
                <w:szCs w:val="18"/>
                <w:b w:val="1"/>
                <w:bCs w:val="1"/>
                <w:color w:val="auto"/>
              </w:rPr>
              <w:t>SUPPLEMENTAL NON-CASH ACTIVITIES: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6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Common stock issued related to contingent consideration liability</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6,176</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420" w:type="dxa"/>
            <w:vAlign w:val="bottom"/>
          </w:tcPr>
          <w:p>
            <w:pPr>
              <w:ind w:left="120"/>
              <w:spacing w:after="0"/>
              <w:rPr>
                <w:sz w:val="20"/>
                <w:szCs w:val="20"/>
                <w:color w:val="auto"/>
              </w:rPr>
            </w:pPr>
            <w:r>
              <w:rPr>
                <w:rFonts w:ascii="Arial" w:cs="Arial" w:eastAsia="Arial" w:hAnsi="Arial"/>
                <w:sz w:val="18"/>
                <w:szCs w:val="18"/>
                <w:color w:val="auto"/>
              </w:rPr>
              <w:t>Operating lease liability and right of use asset addition</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72</w:t>
            </w:r>
          </w:p>
        </w:tc>
      </w:tr>
    </w:tbl>
    <w:p>
      <w:pPr>
        <w:spacing w:after="0" w:line="187" w:lineRule="exact"/>
        <w:rPr>
          <w:sz w:val="20"/>
          <w:szCs w:val="20"/>
          <w:color w:val="auto"/>
        </w:rPr>
      </w:pPr>
    </w:p>
    <w:p>
      <w:pPr>
        <w:ind w:left="1340"/>
        <w:spacing w:after="0"/>
        <w:rPr>
          <w:sz w:val="20"/>
          <w:szCs w:val="20"/>
          <w:color w:val="auto"/>
        </w:rPr>
      </w:pPr>
      <w:r>
        <w:rPr>
          <w:rFonts w:ascii="Arial" w:cs="Arial" w:eastAsia="Arial" w:hAnsi="Arial"/>
          <w:sz w:val="17"/>
          <w:szCs w:val="17"/>
          <w:i w:val="1"/>
          <w:iCs w:val="1"/>
          <w:color w:val="auto"/>
        </w:rPr>
        <w:t>The accompanying notes are an integral part of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 Nature of Business and Basis of Presentation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Nature of Business</w:t>
      </w:r>
    </w:p>
    <w:p>
      <w:pPr>
        <w:spacing w:after="0" w:line="22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Altimmune, Inc., headquartered in Gaithersburg, Maryland, United States, together with its subsidiaries (collectively, the “Company” or “Altimmune”) is a clinical stage biopharmaceutical company incorporated under the laws of the State of Delaware.</w:t>
      </w:r>
    </w:p>
    <w:p>
      <w:pPr>
        <w:spacing w:after="0" w:line="184"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The Company is focused on developing treatments for obesity and liver diseases. The Company’s pipeline includes next generation peptide therapeutics for obesity and non-alcoholic steatohepatitis (“NASH”) (for both, pemvidutide, formerly known as ALT-801), and for chronic hepatitis B (HepTcell). Since its inception, the Company has devoted substantially all of its efforts to business planning, research and development, recruiting management and technical staff and raising capital, and has financed its operations through the issuance of common and preferred stock, long-term debt and proceeds from research grants and government contracts. The Company has not generated any revenues from the sale of any products to date, and there is no assurance of any future revenues from product sales.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The accompanying unaudited consolidated financial statements are prepared pursuant to the rules and regulations of the U.S. Securities and Exchange Commission (“SEC”) regarding interim financial reporting. Accordingly, they do not include all of the information and disclosures required by accounting principles generally accepted in the United States (“U.S. GAAP”) for complete consolidated financial statements and should be read in conjunction with the audited consolidated financial statements for the year ended December 31, 2021 included in the Annual Report on Form 10-K which was filed with the SEC on March 15, 2022. In the opinion of management, the Company has prepared the accompanying unaudited consolidated financial statements on the same basis as the audited consolidated financial statements, and these consolidated financial statements include all adjustments, consisting only of normal recurring adjustments, necessary for a fair presentation of the results of the interim periods presented. The operating results for the interim periods presented are not necessarily indicative of the results expected for the full year 2022 or any future years or periods.</w:t>
      </w:r>
    </w:p>
    <w:p>
      <w:pPr>
        <w:spacing w:after="0" w:line="182" w:lineRule="exact"/>
        <w:rPr>
          <w:sz w:val="20"/>
          <w:szCs w:val="20"/>
          <w:color w:val="auto"/>
        </w:rPr>
      </w:pPr>
    </w:p>
    <w:p>
      <w:pPr>
        <w:jc w:val="both"/>
        <w:ind w:left="60" w:right="59" w:firstLine="648"/>
        <w:spacing w:after="0" w:line="342" w:lineRule="auto"/>
        <w:rPr>
          <w:sz w:val="20"/>
          <w:szCs w:val="20"/>
          <w:color w:val="auto"/>
        </w:rPr>
      </w:pPr>
      <w:r>
        <w:rPr>
          <w:rFonts w:ascii="Arial" w:cs="Arial" w:eastAsia="Arial" w:hAnsi="Arial"/>
          <w:sz w:val="16"/>
          <w:szCs w:val="16"/>
          <w:color w:val="auto"/>
        </w:rPr>
        <w:t>The accompanying unaudited consolidated financial statements include the accounts of the Company and its wholly owned subsidiaries. All significant intercompany accounts and transactions have been eliminated in consolidation.</w:t>
      </w:r>
    </w:p>
    <w:p>
      <w:pPr>
        <w:spacing w:after="0" w:line="124"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The accompanying unaudited consolidated financial statements have been prepared on the basis of continuity of operations, realization of assets, and the satisfaction of liabilities in the ordinary course of business. The financial statements do not include any adjustments relating to the recoverability and classification of recorded assets and liabilities that might be necessary should we be unable to continue as a going concern.</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During the nine months ended September 30, 2022, there have been no significant changes to the Company’s summary of significant accounting policies contained in the Company’s Annual Report on Form 10-K for the year ended December 31, 2021 as filed with the SEC.</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The preparation of these financial statements in conformity with U.S. GAAP requires management to make estimates and assumptions that affect the amounts reported in the financial statements and accompanying notes. The extent to which the COVID-19 pandemic, including any resurgences or the emergence of new variants, may directly or indirectly impact the Company’s business, financial condition, and results of operations is highly uncertain and subject to change.</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 w:name="page9"/>
    <w:bookmarkEnd w:id="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The Company considered the potential impact of the COVID-19 pandemic on the Company’s estimates and assumptions and determined that there was not a material impact to the Company’s unaudited consolidated financial statements as of and for the three and nine months ended September 30, 2022. However, actual results could differ from those estimates and there may be changes to the Company’s estimates in future periods.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Fair Value Measurements</w:t>
      </w:r>
    </w:p>
    <w:p>
      <w:pPr>
        <w:spacing w:after="0" w:line="229"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The Company’s assets measured at fair value on a recurring basis as of September 30, 2022 consisted of the following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0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780" w:type="dxa"/>
            <w:vAlign w:val="bottom"/>
            <w:tcBorders>
              <w:bottom w:val="single" w:sz="8" w:color="auto"/>
            </w:tcBorders>
            <w:gridSpan w:val="9"/>
          </w:tcPr>
          <w:p>
            <w:pPr>
              <w:jc w:val="right"/>
              <w:ind w:right="30"/>
              <w:spacing w:after="0"/>
              <w:rPr>
                <w:sz w:val="20"/>
                <w:szCs w:val="20"/>
                <w:color w:val="auto"/>
              </w:rPr>
            </w:pPr>
            <w:r>
              <w:rPr>
                <w:rFonts w:ascii="Arial" w:cs="Arial" w:eastAsia="Arial" w:hAnsi="Arial"/>
                <w:sz w:val="14"/>
                <w:szCs w:val="14"/>
                <w:b w:val="1"/>
                <w:bCs w:val="1"/>
                <w:color w:val="auto"/>
              </w:rPr>
              <w:t>Fair Value Measurement at September 30, 2022</w:t>
            </w:r>
          </w:p>
        </w:tc>
        <w:tc>
          <w:tcPr>
            <w:tcW w:w="860" w:type="dxa"/>
            <w:vAlign w:val="bottom"/>
            <w:tcBorders>
              <w:bottom w:val="single" w:sz="8" w:color="auto"/>
            </w:tcBorders>
          </w:tcPr>
          <w:p>
            <w:pPr>
              <w:spacing w:after="0"/>
              <w:rPr>
                <w:sz w:val="14"/>
                <w:szCs w:val="14"/>
                <w:color w:val="auto"/>
              </w:rPr>
            </w:pPr>
          </w:p>
        </w:tc>
      </w:tr>
      <w:tr>
        <w:trPr>
          <w:trHeight w:val="142"/>
        </w:trPr>
        <w:tc>
          <w:tcPr>
            <w:tcW w:w="4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2"/>
                <w:szCs w:val="12"/>
                <w:color w:val="auto"/>
              </w:rPr>
            </w:pPr>
          </w:p>
        </w:tc>
        <w:tc>
          <w:tcPr>
            <w:tcW w:w="108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2"/>
                <w:szCs w:val="12"/>
                <w:color w:val="auto"/>
              </w:rPr>
            </w:pPr>
          </w:p>
        </w:tc>
        <w:tc>
          <w:tcPr>
            <w:tcW w:w="108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2"/>
                <w:szCs w:val="12"/>
                <w:color w:val="auto"/>
              </w:rPr>
            </w:pPr>
          </w:p>
        </w:tc>
        <w:tc>
          <w:tcPr>
            <w:tcW w:w="860" w:type="dxa"/>
            <w:vAlign w:val="bottom"/>
          </w:tcPr>
          <w:p>
            <w:pPr>
              <w:ind w:left="120"/>
              <w:spacing w:after="0" w:line="142" w:lineRule="exact"/>
              <w:rPr>
                <w:sz w:val="20"/>
                <w:szCs w:val="20"/>
                <w:color w:val="auto"/>
              </w:rPr>
            </w:pPr>
            <w:r>
              <w:rPr>
                <w:rFonts w:ascii="Arial" w:cs="Arial" w:eastAsia="Arial" w:hAnsi="Arial"/>
                <w:sz w:val="14"/>
                <w:szCs w:val="14"/>
                <w:b w:val="1"/>
                <w:bCs w:val="1"/>
                <w:color w:val="auto"/>
              </w:rPr>
              <w:t>Level 3</w:t>
            </w:r>
          </w:p>
        </w:tc>
      </w:tr>
      <w:tr>
        <w:trPr>
          <w:trHeight w:val="196"/>
        </w:trPr>
        <w:tc>
          <w:tcPr>
            <w:tcW w:w="40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Assets:</w:t>
            </w:r>
          </w:p>
        </w:tc>
        <w:tc>
          <w:tcPr>
            <w:tcW w:w="2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r>
      <w:tr>
        <w:trPr>
          <w:trHeight w:val="216"/>
        </w:trPr>
        <w:tc>
          <w:tcPr>
            <w:tcW w:w="4020" w:type="dxa"/>
            <w:vAlign w:val="bottom"/>
          </w:tcPr>
          <w:p>
            <w:pPr>
              <w:ind w:left="20"/>
              <w:spacing w:after="0"/>
              <w:rPr>
                <w:sz w:val="20"/>
                <w:szCs w:val="20"/>
                <w:color w:val="auto"/>
              </w:rPr>
            </w:pPr>
            <w:r>
              <w:rPr>
                <w:rFonts w:ascii="Arial" w:cs="Arial" w:eastAsia="Arial" w:hAnsi="Arial"/>
                <w:sz w:val="18"/>
                <w:szCs w:val="18"/>
                <w:color w:val="auto"/>
              </w:rPr>
              <w:t>Cash equivalents - money market funds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123,921</w:t>
            </w:r>
          </w:p>
        </w:tc>
        <w:tc>
          <w:tcPr>
            <w:tcW w:w="2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123,921</w:t>
            </w:r>
          </w:p>
        </w:tc>
        <w:tc>
          <w:tcPr>
            <w:tcW w:w="200" w:type="dxa"/>
            <w:vAlign w:val="bottom"/>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Pr>
          <w:p>
            <w:pPr>
              <w:ind w:left="640"/>
              <w:spacing w:after="0"/>
              <w:rPr>
                <w:sz w:val="20"/>
                <w:szCs w:val="20"/>
                <w:color w:val="auto"/>
              </w:rPr>
            </w:pPr>
            <w:r>
              <w:rPr>
                <w:rFonts w:ascii="Arial" w:cs="Arial" w:eastAsia="Arial" w:hAnsi="Arial"/>
                <w:sz w:val="18"/>
                <w:szCs w:val="18"/>
                <w:color w:val="auto"/>
              </w:rPr>
              <w:t>—</w:t>
            </w:r>
          </w:p>
        </w:tc>
      </w:tr>
      <w:tr>
        <w:trPr>
          <w:trHeight w:val="216"/>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74,362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74,362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r>
      <w:tr>
        <w:trPr>
          <w:trHeight w:val="210"/>
        </w:trPr>
        <w:tc>
          <w:tcPr>
            <w:tcW w:w="4020" w:type="dxa"/>
            <w:vAlign w:val="bottom"/>
          </w:tcPr>
          <w:p>
            <w:pPr>
              <w:ind w:left="12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198,283</w:t>
            </w: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123,921</w:t>
            </w: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74,362</w:t>
            </w: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color w:val="auto"/>
              </w:rPr>
              <w:t>—</w:t>
            </w:r>
          </w:p>
        </w:tc>
      </w:tr>
      <w:tr>
        <w:trPr>
          <w:trHeight w:val="20"/>
        </w:trPr>
        <w:tc>
          <w:tcPr>
            <w:tcW w:w="4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The Company’s assets and liabilities measured at fair value on a recurring basis as of December 31, 2021 consisted of the following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0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80" w:type="dxa"/>
            <w:vAlign w:val="bottom"/>
            <w:tcBorders>
              <w:bottom w:val="single" w:sz="8" w:color="auto"/>
            </w:tcBorders>
            <w:gridSpan w:val="9"/>
          </w:tcPr>
          <w:p>
            <w:pPr>
              <w:jc w:val="right"/>
              <w:ind w:right="47"/>
              <w:spacing w:after="0"/>
              <w:rPr>
                <w:sz w:val="20"/>
                <w:szCs w:val="20"/>
                <w:color w:val="auto"/>
              </w:rPr>
            </w:pPr>
            <w:r>
              <w:rPr>
                <w:rFonts w:ascii="Arial" w:cs="Arial" w:eastAsia="Arial" w:hAnsi="Arial"/>
                <w:sz w:val="14"/>
                <w:szCs w:val="14"/>
                <w:b w:val="1"/>
                <w:bCs w:val="1"/>
                <w:color w:val="auto"/>
              </w:rPr>
              <w:t>Fair Value Measurement at December 31, 2021</w:t>
            </w: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ind w:left="260"/>
              <w:spacing w:after="0" w:line="142" w:lineRule="exact"/>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2"/>
                <w:szCs w:val="12"/>
                <w:color w:val="auto"/>
              </w:rPr>
            </w:pPr>
          </w:p>
        </w:tc>
        <w:tc>
          <w:tcPr>
            <w:tcW w:w="106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2"/>
                <w:szCs w:val="12"/>
                <w:color w:val="auto"/>
              </w:rPr>
            </w:pPr>
          </w:p>
        </w:tc>
        <w:tc>
          <w:tcPr>
            <w:tcW w:w="108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2"/>
                <w:szCs w:val="12"/>
                <w:color w:val="auto"/>
              </w:rPr>
            </w:pPr>
          </w:p>
        </w:tc>
        <w:tc>
          <w:tcPr>
            <w:tcW w:w="880" w:type="dxa"/>
            <w:vAlign w:val="bottom"/>
          </w:tcPr>
          <w:p>
            <w:pPr>
              <w:jc w:val="right"/>
              <w:ind w:right="234"/>
              <w:spacing w:after="0" w:line="142" w:lineRule="exact"/>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6"/>
        </w:trPr>
        <w:tc>
          <w:tcPr>
            <w:tcW w:w="40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Assets:</w:t>
            </w:r>
          </w:p>
        </w:tc>
        <w:tc>
          <w:tcPr>
            <w:tcW w:w="1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20"/>
              <w:spacing w:after="0"/>
              <w:rPr>
                <w:sz w:val="20"/>
                <w:szCs w:val="20"/>
                <w:color w:val="auto"/>
              </w:rPr>
            </w:pPr>
            <w:r>
              <w:rPr>
                <w:rFonts w:ascii="Arial" w:cs="Arial" w:eastAsia="Arial" w:hAnsi="Arial"/>
                <w:sz w:val="18"/>
                <w:szCs w:val="18"/>
                <w:color w:val="auto"/>
              </w:rPr>
              <w:t>Cash equivalents - money market funds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65,634</w:t>
            </w:r>
          </w:p>
        </w:tc>
        <w:tc>
          <w:tcPr>
            <w:tcW w:w="200" w:type="dxa"/>
            <w:vAlign w:val="bottom"/>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65,634</w:t>
            </w:r>
          </w:p>
        </w:tc>
        <w:tc>
          <w:tcPr>
            <w:tcW w:w="1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0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65,634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65,634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20" w:type="dxa"/>
            <w:vAlign w:val="bottom"/>
            <w:vMerge w:val="restart"/>
          </w:tcPr>
          <w:p>
            <w:pPr>
              <w:ind w:left="20"/>
              <w:spacing w:after="0"/>
              <w:rPr>
                <w:sz w:val="20"/>
                <w:szCs w:val="20"/>
                <w:color w:val="auto"/>
              </w:rPr>
            </w:pPr>
            <w:r>
              <w:rPr>
                <w:rFonts w:ascii="Arial" w:cs="Arial" w:eastAsia="Arial" w:hAnsi="Arial"/>
                <w:sz w:val="18"/>
                <w:szCs w:val="18"/>
                <w:color w:val="auto"/>
              </w:rPr>
              <w:t>Liabilities:</w:t>
            </w: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Contingent consideration liability (see Note 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6,090</w:t>
            </w:r>
          </w:p>
        </w:tc>
        <w:tc>
          <w:tcPr>
            <w:tcW w:w="0" w:type="dxa"/>
            <w:vAlign w:val="bottom"/>
          </w:tcPr>
          <w:p>
            <w:pPr>
              <w:spacing w:after="0"/>
              <w:rPr>
                <w:sz w:val="1"/>
                <w:szCs w:val="1"/>
                <w:color w:val="auto"/>
              </w:rPr>
            </w:pPr>
          </w:p>
        </w:tc>
      </w:tr>
      <w:tr>
        <w:trPr>
          <w:trHeight w:val="210"/>
        </w:trPr>
        <w:tc>
          <w:tcPr>
            <w:tcW w:w="4020" w:type="dxa"/>
            <w:vAlign w:val="bottom"/>
          </w:tcPr>
          <w:p>
            <w:pPr>
              <w:ind w:left="1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6,090</w:t>
            </w: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6,090</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As described in Note 6 the remaining milestone payment underlying the contingent consideration liability was fully settled in shares of the Company’s common stock. As of September 30, 2022, the Company had no contingent consideration liability.</w:t>
      </w:r>
    </w:p>
    <w:p>
      <w:pPr>
        <w:spacing w:after="0" w:line="184" w:lineRule="exact"/>
        <w:rPr>
          <w:sz w:val="20"/>
          <w:szCs w:val="20"/>
          <w:color w:val="auto"/>
        </w:rPr>
      </w:pPr>
    </w:p>
    <w:p>
      <w:pPr>
        <w:jc w:val="both"/>
        <w:ind w:left="60" w:right="79" w:firstLine="648"/>
        <w:spacing w:after="0" w:line="259" w:lineRule="auto"/>
        <w:rPr>
          <w:sz w:val="20"/>
          <w:szCs w:val="20"/>
          <w:color w:val="auto"/>
        </w:rPr>
      </w:pPr>
      <w:r>
        <w:rPr>
          <w:rFonts w:ascii="Arial" w:cs="Arial" w:eastAsia="Arial" w:hAnsi="Arial"/>
          <w:sz w:val="18"/>
          <w:szCs w:val="18"/>
          <w:color w:val="auto"/>
        </w:rPr>
        <w:t>Short-term investments have been initially valued at the transaction price and subsequently valued, at the end of each reporting period, utilizing third party pricing services or other market observable data (Level 2). The pricing services utilize industry standard valuation models, including both income and market-based approaches and observable market inputs to determine value.</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Short-term investments had quoted prices as of September 30, 2022 as shown below (in thousands):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September 30, 2022</w:t>
            </w: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r>
      <w:tr>
        <w:trPr>
          <w:trHeight w:val="142"/>
        </w:trPr>
        <w:tc>
          <w:tcPr>
            <w:tcW w:w="5220" w:type="dxa"/>
            <w:vAlign w:val="bottom"/>
          </w:tcPr>
          <w:p>
            <w:pPr>
              <w:spacing w:after="0"/>
              <w:rPr>
                <w:sz w:val="12"/>
                <w:szCs w:val="12"/>
                <w:color w:val="auto"/>
              </w:rPr>
            </w:pPr>
          </w:p>
        </w:tc>
        <w:tc>
          <w:tcPr>
            <w:tcW w:w="10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Amortized Cost</w:t>
            </w:r>
          </w:p>
        </w:tc>
        <w:tc>
          <w:tcPr>
            <w:tcW w:w="200" w:type="dxa"/>
            <w:vAlign w:val="bottom"/>
          </w:tcPr>
          <w:p>
            <w:pPr>
              <w:spacing w:after="0"/>
              <w:rPr>
                <w:sz w:val="12"/>
                <w:szCs w:val="12"/>
                <w:color w:val="auto"/>
              </w:rPr>
            </w:pPr>
          </w:p>
        </w:tc>
        <w:tc>
          <w:tcPr>
            <w:tcW w:w="1300" w:type="dxa"/>
            <w:vAlign w:val="bottom"/>
            <w:gridSpan w:val="3"/>
          </w:tcPr>
          <w:p>
            <w:pPr>
              <w:jc w:val="center"/>
              <w:ind w:right="200"/>
              <w:spacing w:after="0" w:line="142" w:lineRule="exact"/>
              <w:rPr>
                <w:sz w:val="20"/>
                <w:szCs w:val="20"/>
                <w:color w:val="auto"/>
              </w:rPr>
            </w:pPr>
            <w:r>
              <w:rPr>
                <w:rFonts w:ascii="Arial" w:cs="Arial" w:eastAsia="Arial" w:hAnsi="Arial"/>
                <w:sz w:val="14"/>
                <w:szCs w:val="14"/>
                <w:b w:val="1"/>
                <w:bCs w:val="1"/>
                <w:color w:val="auto"/>
                <w:w w:val="91"/>
              </w:rPr>
              <w:t>Unrealized Loss</w:t>
            </w:r>
          </w:p>
        </w:tc>
        <w:tc>
          <w:tcPr>
            <w:tcW w:w="120" w:type="dxa"/>
            <w:vAlign w:val="bottom"/>
          </w:tcPr>
          <w:p>
            <w:pPr>
              <w:spacing w:after="0"/>
              <w:rPr>
                <w:sz w:val="12"/>
                <w:szCs w:val="12"/>
                <w:color w:val="auto"/>
              </w:rPr>
            </w:pPr>
          </w:p>
        </w:tc>
        <w:tc>
          <w:tcPr>
            <w:tcW w:w="980" w:type="dxa"/>
            <w:vAlign w:val="bottom"/>
          </w:tcPr>
          <w:p>
            <w:pPr>
              <w:jc w:val="right"/>
              <w:ind w:right="34"/>
              <w:spacing w:after="0" w:line="142" w:lineRule="exact"/>
              <w:rPr>
                <w:sz w:val="20"/>
                <w:szCs w:val="20"/>
                <w:color w:val="auto"/>
              </w:rPr>
            </w:pPr>
            <w:r>
              <w:rPr>
                <w:rFonts w:ascii="Arial" w:cs="Arial" w:eastAsia="Arial" w:hAnsi="Arial"/>
                <w:sz w:val="14"/>
                <w:szCs w:val="14"/>
                <w:b w:val="1"/>
                <w:bCs w:val="1"/>
                <w:color w:val="auto"/>
                <w:w w:val="97"/>
              </w:rPr>
              <w:t>Market Value</w:t>
            </w:r>
          </w:p>
        </w:tc>
      </w:tr>
      <w:tr>
        <w:trPr>
          <w:trHeight w:val="210"/>
        </w:trPr>
        <w:tc>
          <w:tcPr>
            <w:tcW w:w="5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 treasury securities</w:t>
            </w:r>
          </w:p>
        </w:tc>
        <w:tc>
          <w:tcPr>
            <w:tcW w:w="32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17,784</w:t>
            </w:r>
          </w:p>
        </w:tc>
        <w:tc>
          <w:tcPr>
            <w:tcW w:w="2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6"/>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17,672</w:t>
            </w:r>
          </w:p>
        </w:tc>
      </w:tr>
      <w:tr>
        <w:trPr>
          <w:trHeight w:val="216"/>
        </w:trPr>
        <w:tc>
          <w:tcPr>
            <w:tcW w:w="5220" w:type="dxa"/>
            <w:vAlign w:val="bottom"/>
          </w:tcPr>
          <w:p>
            <w:pPr>
              <w:ind w:left="20"/>
              <w:spacing w:after="0"/>
              <w:rPr>
                <w:sz w:val="20"/>
                <w:szCs w:val="20"/>
                <w:color w:val="auto"/>
              </w:rPr>
            </w:pPr>
            <w:r>
              <w:rPr>
                <w:rFonts w:ascii="Arial" w:cs="Arial" w:eastAsia="Arial" w:hAnsi="Arial"/>
                <w:sz w:val="18"/>
                <w:szCs w:val="18"/>
                <w:color w:val="auto"/>
              </w:rPr>
              <w:t>Commercial paper and corporate debt securities</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49,931</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49,807</w:t>
            </w:r>
          </w:p>
        </w:tc>
      </w:tr>
      <w:tr>
        <w:trPr>
          <w:trHeight w:val="216"/>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backed securities</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6,910</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6,883</w:t>
            </w:r>
          </w:p>
        </w:tc>
      </w:tr>
      <w:tr>
        <w:trPr>
          <w:trHeight w:val="210"/>
        </w:trPr>
        <w:tc>
          <w:tcPr>
            <w:tcW w:w="5220" w:type="dxa"/>
            <w:vAlign w:val="bottom"/>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74,625</w:t>
            </w:r>
          </w:p>
        </w:tc>
        <w:tc>
          <w:tcPr>
            <w:tcW w:w="2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16"/>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74,362</w:t>
            </w:r>
          </w:p>
        </w:tc>
      </w:tr>
      <w:tr>
        <w:trPr>
          <w:trHeight w:val="20"/>
        </w:trPr>
        <w:tc>
          <w:tcPr>
            <w:tcW w:w="5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Separate disclosure is required for assets and liabilities measured at fair value on a recurring basis from those measured at fair value on a non-recurring basis. Assets recorded at fair value on a non-recurring basis, such as property and equipment and intangible assets are recognized at fair value when they are impaired. During the nine months ended September 30, 2022, the Company had no significant assets or liabilities that were measured at fair value on a non-recurring basis. During the year ended December 31, 2021, the Company recorded non-cash impairment charges to property and equipment, net on a non-recurring basis (see below).</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Lonza Manufacturing Agreement</w:t>
      </w:r>
    </w:p>
    <w:p>
      <w:pPr>
        <w:spacing w:after="0" w:line="225"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In March 2021, the Company expanded its manufacturing collaboration with Lonza Houston, Inc. (“Lonza”) for the manufacture of AdCOVID or other adenovirus-based vaccines. Under the expanded agreement, the Company had committed approximately $23.0 million to Lonza to procure long-lead equipment and construct a dedicated manufacturing suite for clinical and commercial production of adenovirus-based vaccines. In June 2021, the Company announced the discontinuation of further development of AdCOVID following the Company’s review of findings from its Phase 1 clinical trial. Construction continued at Lonza, and the Company assessed its strategic options with respect to the suite. This work was completed during the fourth quarter of 2021. The Company capitalized a total of $11.4 million as construction-in-progress (“CIP”) during the nine months ended September 30, 2021 under this expanded agreement.</w:t>
      </w:r>
    </w:p>
    <w:p>
      <w:pPr>
        <w:spacing w:after="0" w:line="138"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In connection with the discontinuation of further development of AdCOVID, the Company recorded a non-cash impairment charge of $8.1 million in the unaudited consolidated statements of operations and comprehensive loss for the nine months ended September 30, 2021 to write-down the CIP associated with the construction of the Lonza facility to its fair value of $3.3 million as of September 30, 2021. As of September 30, 2021, the fair value of the CIP related assets was primarily determined utilizing the cost approach, which reflected the replacement cost of the asset being appraised, adjusted for contractual restrictions on the assets, the probability of satisfying the contractual restrictions, physical deterioration, functional obsolescence and economic obsolescence. The fair value measurement was considered a Level 3 measurement within the valuation hierarchy.</w:t>
      </w:r>
    </w:p>
    <w:p>
      <w:pPr>
        <w:spacing w:after="0" w:line="138"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Furthermore, the remaining $3.3 million CIP was fully charged to impairment during the three months ended December 31, 2021 upon termination of the agreement.</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Operating Leases</w:t>
      </w:r>
    </w:p>
    <w:p>
      <w:pPr>
        <w:spacing w:after="0" w:line="229"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The Company rents office and laboratory space in the United States which expires in April 2025. Rent expense under the Company’s operating leases was $0.1 million and $0.4 million during each of the three and nine months ended September 30, 2022 and 2021, respectively. Rent expense includes short-term leases and variable lease costs that are not included in the lease obligation.</w:t>
      </w:r>
    </w:p>
    <w:p>
      <w:pPr>
        <w:spacing w:after="0" w:line="187"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Short-term leases are leases having a term of twelve months or less. The Company recognizes short-term leases on a straight-line basis and does not record a related lease asset or liability for such leases.</w:t>
      </w:r>
    </w:p>
    <w:p>
      <w:pPr>
        <w:spacing w:after="0" w:line="170"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office space lease provides for increases in future minimum annual rental payments as defined in the lease agreement. The office space lease also includes an option to renew the lease as of the end of the term. The Company has determined that the lease renewal option is not reasonably certain of being exercised.</w:t>
      </w:r>
    </w:p>
    <w:p>
      <w:pPr>
        <w:spacing w:after="0" w:line="184"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The cash paid for operating lease liabilities for each of the nine months ended September 30, 2022 and 2021 was $0.4 million.</w:t>
      </w:r>
    </w:p>
    <w:p>
      <w:pPr>
        <w:spacing w:after="0" w:line="170"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Supplemental other information related to the operating leases balance sheet information is as follows (in thousands):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10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September 30, 2022</w:t>
            </w:r>
          </w:p>
        </w:tc>
        <w:tc>
          <w:tcPr>
            <w:tcW w:w="1360" w:type="dxa"/>
            <w:vAlign w:val="bottom"/>
            <w:gridSpan w:val="4"/>
          </w:tcPr>
          <w:p>
            <w:pPr>
              <w:spacing w:after="0"/>
              <w:rPr>
                <w:sz w:val="20"/>
                <w:szCs w:val="20"/>
                <w:color w:val="auto"/>
              </w:rPr>
            </w:pPr>
            <w:r>
              <w:rPr>
                <w:rFonts w:ascii="Arial" w:cs="Arial" w:eastAsia="Arial" w:hAnsi="Arial"/>
                <w:sz w:val="14"/>
                <w:szCs w:val="14"/>
                <w:b w:val="1"/>
                <w:bCs w:val="1"/>
                <w:color w:val="auto"/>
              </w:rPr>
              <w:t>December 31, 2021</w:t>
            </w:r>
          </w:p>
        </w:tc>
      </w:tr>
      <w:tr>
        <w:trPr>
          <w:trHeight w:val="210"/>
        </w:trPr>
        <w:tc>
          <w:tcPr>
            <w:tcW w:w="6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obligations (see Note 5 and 7)</w:t>
            </w: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2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1,535</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100" w:type="dxa"/>
            <w:vAlign w:val="bottom"/>
          </w:tcPr>
          <w:p>
            <w:pPr>
              <w:ind w:left="20"/>
              <w:spacing w:after="0"/>
              <w:rPr>
                <w:sz w:val="20"/>
                <w:szCs w:val="20"/>
                <w:color w:val="auto"/>
              </w:rPr>
            </w:pPr>
            <w:r>
              <w:rPr>
                <w:rFonts w:ascii="Arial" w:cs="Arial" w:eastAsia="Arial" w:hAnsi="Arial"/>
                <w:sz w:val="18"/>
                <w:szCs w:val="18"/>
                <w:color w:val="auto"/>
                <w:w w:val="94"/>
              </w:rPr>
              <w:t>Operating lease right-of-use assets (included in "Other assets" in Balance Sheet)</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649</w:t>
            </w:r>
          </w:p>
        </w:tc>
        <w:tc>
          <w:tcPr>
            <w:tcW w:w="24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798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(years)</w:t>
            </w: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4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7.2 %</w:t>
            </w:r>
          </w:p>
        </w:tc>
        <w:tc>
          <w:tcPr>
            <w:tcW w:w="40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7.2 %</w:t>
            </w:r>
          </w:p>
        </w:tc>
        <w:tc>
          <w:tcPr>
            <w:tcW w:w="20" w:type="dxa"/>
            <w:vAlign w:val="bottom"/>
          </w:tcPr>
          <w:p>
            <w:pPr>
              <w:spacing w:after="0"/>
              <w:rPr>
                <w:sz w:val="20"/>
                <w:szCs w:val="20"/>
                <w:color w:val="auto"/>
              </w:rPr>
            </w:pPr>
          </w:p>
        </w:tc>
      </w:tr>
      <w:tr>
        <w:trPr>
          <w:trHeight w:val="863"/>
        </w:trPr>
        <w:tc>
          <w:tcPr>
            <w:tcW w:w="6100" w:type="dxa"/>
            <w:vAlign w:val="bottom"/>
          </w:tcPr>
          <w:p>
            <w:pPr>
              <w:ind w:left="4420"/>
              <w:spacing w:after="0"/>
              <w:rPr>
                <w:sz w:val="20"/>
                <w:szCs w:val="20"/>
                <w:color w:val="auto"/>
              </w:rPr>
            </w:pPr>
            <w:r>
              <w:rPr>
                <w:rFonts w:ascii="Arial" w:cs="Arial" w:eastAsia="Arial" w:hAnsi="Arial"/>
                <w:sz w:val="18"/>
                <w:szCs w:val="18"/>
                <w:color w:val="auto"/>
              </w:rPr>
              <w:t>8</w:t>
            </w: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6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Accrued Expenses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Accrued expenses and other current liabilities consist of the following (in thousands):</w:t>
      </w:r>
    </w:p>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32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September 30, 2022</w:t>
            </w: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w w:val="90"/>
              </w:rPr>
              <w:t>December 31, 2021</w:t>
            </w:r>
          </w:p>
        </w:tc>
      </w:tr>
      <w:tr>
        <w:trPr>
          <w:trHeight w:val="209"/>
        </w:trPr>
        <w:tc>
          <w:tcPr>
            <w:tcW w:w="6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professional services</w:t>
            </w: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2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w:t>
            </w:r>
          </w:p>
        </w:tc>
      </w:tr>
      <w:tr>
        <w:trPr>
          <w:trHeight w:val="216"/>
        </w:trPr>
        <w:tc>
          <w:tcPr>
            <w:tcW w:w="6320" w:type="dxa"/>
            <w:vAlign w:val="bottom"/>
          </w:tcPr>
          <w:p>
            <w:pPr>
              <w:ind w:left="20"/>
              <w:spacing w:after="0"/>
              <w:rPr>
                <w:sz w:val="20"/>
                <w:szCs w:val="20"/>
                <w:color w:val="auto"/>
              </w:rPr>
            </w:pPr>
            <w:r>
              <w:rPr>
                <w:rFonts w:ascii="Arial" w:cs="Arial" w:eastAsia="Arial" w:hAnsi="Arial"/>
                <w:sz w:val="18"/>
                <w:szCs w:val="18"/>
                <w:color w:val="auto"/>
              </w:rPr>
              <w:t>Accrued payroll and employee benefits</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2,110</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2,313</w:t>
            </w:r>
          </w:p>
        </w:tc>
      </w:tr>
      <w:tr>
        <w:trPr>
          <w:trHeight w:val="216"/>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research and development</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9,930</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6,988</w:t>
            </w:r>
          </w:p>
        </w:tc>
      </w:tr>
      <w:tr>
        <w:trPr>
          <w:trHeight w:val="216"/>
        </w:trPr>
        <w:tc>
          <w:tcPr>
            <w:tcW w:w="6320" w:type="dxa"/>
            <w:vAlign w:val="bottom"/>
          </w:tcPr>
          <w:p>
            <w:pPr>
              <w:ind w:left="20"/>
              <w:spacing w:after="0"/>
              <w:rPr>
                <w:sz w:val="20"/>
                <w:szCs w:val="20"/>
                <w:color w:val="auto"/>
              </w:rPr>
            </w:pPr>
            <w:r>
              <w:rPr>
                <w:rFonts w:ascii="Arial" w:cs="Arial" w:eastAsia="Arial" w:hAnsi="Arial"/>
                <w:sz w:val="18"/>
                <w:szCs w:val="18"/>
                <w:color w:val="auto"/>
              </w:rPr>
              <w:t>Lease obligation, current portion (see Note 4)</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442</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411</w:t>
            </w:r>
          </w:p>
        </w:tc>
      </w:tr>
      <w:tr>
        <w:trPr>
          <w:trHeight w:val="216"/>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payable</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Accrued interest and other</w:t>
            </w: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r>
      <w:tr>
        <w:trPr>
          <w:trHeight w:val="209"/>
        </w:trPr>
        <w:tc>
          <w:tcPr>
            <w:tcW w:w="6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accrued expenses and other current liabilities</w:t>
            </w:r>
          </w:p>
        </w:tc>
        <w:tc>
          <w:tcPr>
            <w:tcW w:w="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14,323</w:t>
            </w:r>
          </w:p>
        </w:tc>
        <w:tc>
          <w:tcPr>
            <w:tcW w:w="2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10,152</w:t>
            </w:r>
          </w:p>
        </w:tc>
      </w:tr>
      <w:tr>
        <w:trPr>
          <w:trHeight w:val="20"/>
        </w:trPr>
        <w:tc>
          <w:tcPr>
            <w:tcW w:w="6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Contingent Consideration</w:t>
      </w:r>
    </w:p>
    <w:p>
      <w:pPr>
        <w:spacing w:after="0" w:line="229"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The Company entered into an Agreement and Plan of Merger and Reorganization, dated July 8, 2019, by and among the Company, Springfield Merger Sub, Inc., Springfield Merger Sub, LLC, Spitfire Pharma, Inc. and David Collier, as the Stockholder Representative (the “Spitfire Merger Agreement”) to acquire all of the equity interests of Spitfire Pharma, Inc. (“Spitfire”). Spitfire was a privately held, preclinical pharmaceutical company developing a novel GLP-1/glucagon receptor dual agonist for the treatment of NASH.</w:t>
      </w:r>
    </w:p>
    <w:p>
      <w:pPr>
        <w:spacing w:after="0" w:line="188"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color w:val="auto"/>
        </w:rPr>
        <w:t>The transaction closed on July 12, 2019. The Company issued 1,887,250 unregistered shares of its common stock as upfront consideration to certain former securityholders of Spitfire, representing an amount equal to $5.0 million less working capital and transaction expense adjustment amounts as defined in the agreement.</w:t>
      </w:r>
    </w:p>
    <w:p>
      <w:pPr>
        <w:spacing w:after="0" w:line="165"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The acquisition of Spitfire was accounted for as an asset acquisition instead of a business combination because substantially all of the fair value of the gross assets acquired was concentrated in a single identifiable asset or group of similar identifiable assets, and therefore, the asset was not considered a business. The Company expensed the acquired intellectual property as of the acquisition date as in-process research and development with no alternative future uses.</w:t>
      </w:r>
    </w:p>
    <w:p>
      <w:pPr>
        <w:spacing w:after="0" w:line="157"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Spitfire Merger Agreement also includes future contingent payments up to $88.0 million in cash and shares of the Company’s common stock as follows:</w:t>
      </w:r>
    </w:p>
    <w:p>
      <w:pPr>
        <w:spacing w:after="0" w:line="170" w:lineRule="exact"/>
        <w:rPr>
          <w:sz w:val="20"/>
          <w:szCs w:val="20"/>
          <w:color w:val="auto"/>
        </w:rPr>
      </w:pPr>
    </w:p>
    <w:p>
      <w:pPr>
        <w:jc w:val="both"/>
        <w:ind w:left="720" w:right="79" w:hanging="319"/>
        <w:spacing w:after="0" w:line="257"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one-time payment of $5.0 million (the “IND Milestone Consideration Amount”) within sixty days of the submission of an Investigational New Drug Application (“IND”) to the United States Food and Drug Administration (the “FDA”) or other applicable governmental authority in a foreign jurisdiction, which IND has not been rejected or placed on clinical hold by the FDA or such applicable foreign governmental authority within time specified in the Spitfire Merger Agreement;</w:t>
      </w:r>
    </w:p>
    <w:p>
      <w:pPr>
        <w:spacing w:after="0" w:line="187" w:lineRule="exact"/>
        <w:rPr>
          <w:rFonts w:ascii="Arial" w:cs="Arial" w:eastAsia="Arial" w:hAnsi="Arial"/>
          <w:sz w:val="18"/>
          <w:szCs w:val="18"/>
          <w:color w:val="auto"/>
        </w:rPr>
      </w:pPr>
    </w:p>
    <w:p>
      <w:pPr>
        <w:jc w:val="both"/>
        <w:ind w:left="720" w:right="79" w:hanging="319"/>
        <w:spacing w:after="0" w:line="259"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one-time payment of $3.0 million (the “Phase 2 Milestone Consideration Amount” and together with the IND Milestone Consideration Amount, the “Regulatory Milestones”) within sixty days of the initiation (first patient, first dosing) of a Phase 2 clinical trial of a product candidate anywhere in the world (a “Phase 2 Milestone Event”); and</w:t>
      </w:r>
    </w:p>
    <w:p>
      <w:pPr>
        <w:spacing w:after="0" w:line="186" w:lineRule="exact"/>
        <w:rPr>
          <w:rFonts w:ascii="Arial" w:cs="Arial" w:eastAsia="Arial" w:hAnsi="Arial"/>
          <w:sz w:val="18"/>
          <w:szCs w:val="18"/>
          <w:color w:val="auto"/>
        </w:rPr>
      </w:pPr>
    </w:p>
    <w:p>
      <w:pPr>
        <w:jc w:val="both"/>
        <w:ind w:left="720" w:right="79" w:hanging="319"/>
        <w:spacing w:after="0" w:line="259"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payments of up to $80.0 million upon the achievement of specified worldwide net sales (the “Sales Milestones”) of all products developed using the technology acquired in the Amended and Restated License Agreement, dated July 12, 2019, by and between Mederis Diabetes, LLC and Spitfire, within ten years following the approval of a new drug application filed with the FDA.</w:t>
      </w:r>
    </w:p>
    <w:p>
      <w:pPr>
        <w:spacing w:after="0" w:line="187"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The Regulatory Milestones were payable in shares of the Company’s common stock, with the number of shares of the Company’s common stock issued in connection with each milestone amount, if any, dependent on the share price at the time of achievement. The number of shares issued in consideration for the IND Milestone Consideration Amount was determined based on the lower of (A) the average of the closing prices of the Company’s common stock as reported on the Nasdaq Global Market for the twenty (20) consecutive trading days prior to the IND Reference Date or (B) $2.95.</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number of shares issued in consideration for the Phase 2 Milestone Consideration Amount was determined based on the lower of (A) the average of the closing trading prices of the Company’s common stock as reported on the Nasdaq Global Market for the twenty (20) consecutive trading days immediately preceding the date of the occurrence of the Phase 2 Milestone Event or (B) $3.54.</w:t>
      </w:r>
    </w:p>
    <w:p>
      <w:pPr>
        <w:spacing w:after="0" w:line="187"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 xml:space="preserve">The contingent payments related to the Regulatory Milestones were stock-based payments accounted for under FASB Accounting Standards Codification Topic 480, </w:t>
      </w:r>
      <w:r>
        <w:rPr>
          <w:rFonts w:ascii="Arial" w:cs="Arial" w:eastAsia="Arial" w:hAnsi="Arial"/>
          <w:sz w:val="18"/>
          <w:szCs w:val="18"/>
          <w:i w:val="1"/>
          <w:iCs w:val="1"/>
          <w:color w:val="auto"/>
        </w:rPr>
        <w:t>Distinguishing Liabilities From Equity</w:t>
      </w:r>
      <w:r>
        <w:rPr>
          <w:rFonts w:ascii="Arial" w:cs="Arial" w:eastAsia="Arial" w:hAnsi="Arial"/>
          <w:sz w:val="18"/>
          <w:szCs w:val="18"/>
          <w:color w:val="auto"/>
        </w:rPr>
        <w:t xml:space="preserve"> (“ASC 480”). Such stock-based payments are subject to a lock-up whereby 50% of the shares are released at 3 months following issuance and 50% are released at 6 months following issuance. The future contingent payments related to the Sales Milestones are predominately cash-based payments accounted for under FASB Accounting Standards Codification Topic 450, </w:t>
      </w:r>
      <w:r>
        <w:rPr>
          <w:rFonts w:ascii="Arial" w:cs="Arial" w:eastAsia="Arial" w:hAnsi="Arial"/>
          <w:sz w:val="18"/>
          <w:szCs w:val="18"/>
          <w:i w:val="1"/>
          <w:iCs w:val="1"/>
          <w:color w:val="auto"/>
        </w:rPr>
        <w:t>Contingencies</w:t>
      </w:r>
      <w:r>
        <w:rPr>
          <w:rFonts w:ascii="Arial" w:cs="Arial" w:eastAsia="Arial" w:hAnsi="Arial"/>
          <w:sz w:val="18"/>
          <w:szCs w:val="18"/>
          <w:color w:val="auto"/>
        </w:rPr>
        <w:t>. Accordingly, the Company will recognize the Sales Milestones when the contingency is probable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amount can be reasonably estimated.</w:t>
      </w:r>
    </w:p>
    <w:p>
      <w:pPr>
        <w:spacing w:after="0" w:line="195"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On November 3, 2020, the Company received acknowledgement from the Australian Government Department of Health on the Company’s submitted clinical trial notification (“CTN”) which triggered the obligation to settle the IND Milestone payment to the former owners. As a result, on November 19, 2020, the Company issued 1,694,906 shares of its common stock valued at $9.57 per share for the amount value of $13.6 million to the former Spitfire stockholders. Pursuant to the Spitfire Merger Agreement, the Company issued the shares within sixty days of the submission of the CTN, which was October 29, 2020. From September 30, 2020 through November 19, 2020, the date of issuance, the Company recognized a decrease in the fair value of the IND Milestone payment of $5.4 million to research and development expense and reclassified the balance in the contingent consideration liability associated with the fair value of the IND Milestone payment to equity in the Company’s consolidated balance sheet.</w:t>
      </w:r>
    </w:p>
    <w:p>
      <w:pPr>
        <w:spacing w:after="0" w:line="181"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On April 26, 2022, the Company dosed the first patient in the Phase 2 MOMENTUM trial of pemvidutide in obesity, which triggered the obligation to pay the Phase 2 Milestone Consideration Amount to the former owners. As a result, on June 10, 2022, the Company issued 847,444 shares of its common stock valued at $8.55 per share for the amount value of $7.2 million to the former Spitfire stockholders. From the last valuation date on March 31, 2022 through June 10, 2022, the date of issuance, the Company recognized an increase in the fair value of the Phase 2 Milestone Consideration Amount of $1.9 million to research and development expense and reclassified the balance in the contingent consideration liability to equity in the Company’s consolidated balance sheet. As of September 30, 2022, the Company had no contingent consideration liability.</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Below is a summary of the contingent consideration activity (in thousands):</w:t>
      </w: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980" w:type="dxa"/>
            <w:vAlign w:val="bottom"/>
          </w:tcPr>
          <w:p>
            <w:pPr>
              <w:spacing w:after="0"/>
              <w:rPr>
                <w:sz w:val="14"/>
                <w:szCs w:val="14"/>
                <w:color w:val="auto"/>
              </w:rPr>
            </w:pPr>
          </w:p>
        </w:tc>
        <w:tc>
          <w:tcPr>
            <w:tcW w:w="2920" w:type="dxa"/>
            <w:vAlign w:val="bottom"/>
            <w:tcBorders>
              <w:bottom w:val="single" w:sz="8" w:color="auto"/>
            </w:tcBorders>
            <w:gridSpan w:val="5"/>
          </w:tcPr>
          <w:p>
            <w:pPr>
              <w:jc w:val="right"/>
              <w:ind w:right="314"/>
              <w:spacing w:after="0"/>
              <w:rPr>
                <w:sz w:val="20"/>
                <w:szCs w:val="20"/>
                <w:color w:val="auto"/>
              </w:rPr>
            </w:pPr>
            <w:r>
              <w:rPr>
                <w:rFonts w:ascii="Arial" w:cs="Arial" w:eastAsia="Arial" w:hAnsi="Arial"/>
                <w:sz w:val="14"/>
                <w:szCs w:val="14"/>
                <w:b w:val="1"/>
                <w:bCs w:val="1"/>
                <w:color w:val="auto"/>
              </w:rPr>
              <w:t>Nine Months Ended September 30,</w:t>
            </w:r>
          </w:p>
        </w:tc>
      </w:tr>
      <w:tr>
        <w:trPr>
          <w:trHeight w:val="142"/>
        </w:trPr>
        <w:tc>
          <w:tcPr>
            <w:tcW w:w="598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34"/>
              <w:spacing w:after="0" w:line="142" w:lineRule="exact"/>
              <w:rPr>
                <w:sz w:val="20"/>
                <w:szCs w:val="20"/>
                <w:color w:val="auto"/>
              </w:rPr>
            </w:pPr>
            <w:r>
              <w:rPr>
                <w:rFonts w:ascii="Arial" w:cs="Arial" w:eastAsia="Arial" w:hAnsi="Arial"/>
                <w:sz w:val="14"/>
                <w:szCs w:val="14"/>
                <w:b w:val="1"/>
                <w:bCs w:val="1"/>
                <w:color w:val="auto"/>
              </w:rPr>
              <w:t>2021</w:t>
            </w:r>
          </w:p>
        </w:tc>
      </w:tr>
      <w:tr>
        <w:trPr>
          <w:trHeight w:val="209"/>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800" w:type="dxa"/>
            <w:vAlign w:val="bottom"/>
            <w:shd w:val="clear" w:color="auto" w:fill="CCEEFF"/>
          </w:tcPr>
          <w:p>
            <w:pPr>
              <w:jc w:val="right"/>
              <w:ind w:right="647"/>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6,090</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5,390</w:t>
            </w:r>
          </w:p>
        </w:tc>
      </w:tr>
      <w:tr>
        <w:trPr>
          <w:trHeight w:val="216"/>
        </w:trPr>
        <w:tc>
          <w:tcPr>
            <w:tcW w:w="5980" w:type="dxa"/>
            <w:vAlign w:val="bottom"/>
          </w:tcPr>
          <w:p>
            <w:pPr>
              <w:ind w:left="120"/>
              <w:spacing w:after="0"/>
              <w:rPr>
                <w:sz w:val="20"/>
                <w:szCs w:val="20"/>
                <w:color w:val="auto"/>
              </w:rPr>
            </w:pPr>
            <w:r>
              <w:rPr>
                <w:rFonts w:ascii="Arial" w:cs="Arial" w:eastAsia="Arial" w:hAnsi="Arial"/>
                <w:sz w:val="18"/>
                <w:szCs w:val="18"/>
                <w:color w:val="auto"/>
              </w:rPr>
              <w:t>Change in fair value</w:t>
            </w:r>
          </w:p>
        </w:tc>
        <w:tc>
          <w:tcPr>
            <w:tcW w:w="8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86</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1,560</w:t>
            </w:r>
          </w:p>
        </w:tc>
      </w:tr>
      <w:tr>
        <w:trPr>
          <w:trHeight w:val="216"/>
        </w:trPr>
        <w:tc>
          <w:tcPr>
            <w:tcW w:w="5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Fair value of payments settled in common stock (Phase II Milestone)</w:t>
            </w:r>
          </w:p>
        </w:tc>
        <w:tc>
          <w:tcPr>
            <w:tcW w:w="8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(6,176)</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598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800" w:type="dxa"/>
            <w:vAlign w:val="bottom"/>
            <w:tcBorders>
              <w:top w:val="single" w:sz="8" w:color="auto"/>
              <w:bottom w:val="single" w:sz="8" w:color="auto"/>
            </w:tcBorders>
          </w:tcPr>
          <w:p>
            <w:pPr>
              <w:jc w:val="right"/>
              <w:ind w:right="647"/>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6,950</w:t>
            </w:r>
          </w:p>
        </w:tc>
      </w:tr>
      <w:tr>
        <w:trPr>
          <w:trHeight w:val="20"/>
        </w:trPr>
        <w:tc>
          <w:tcPr>
            <w:tcW w:w="59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Other Long-Term Liabilities</w:t>
      </w:r>
    </w:p>
    <w:p>
      <w:pPr>
        <w:spacing w:after="0" w:line="229" w:lineRule="exact"/>
        <w:rPr>
          <w:sz w:val="20"/>
          <w:szCs w:val="20"/>
          <w:color w:val="auto"/>
        </w:rPr>
      </w:pPr>
    </w:p>
    <w:p>
      <w:pPr>
        <w:jc w:val="both"/>
        <w:ind w:left="60" w:right="59" w:firstLine="648"/>
        <w:spacing w:after="0" w:line="254" w:lineRule="auto"/>
        <w:rPr>
          <w:rFonts w:ascii="Arial" w:cs="Arial" w:eastAsia="Arial" w:hAnsi="Arial"/>
          <w:sz w:val="18"/>
          <w:szCs w:val="18"/>
          <w:i w:val="1"/>
          <w:iCs w:val="1"/>
          <w:color w:val="0000EE"/>
        </w:rPr>
      </w:pPr>
      <w:r>
        <w:rPr>
          <w:rFonts w:ascii="Arial" w:cs="Arial" w:eastAsia="Arial" w:hAnsi="Arial"/>
          <w:sz w:val="18"/>
          <w:szCs w:val="18"/>
          <w:color w:val="auto"/>
        </w:rPr>
        <w:t xml:space="preserve">During the nine months ended September 30, 2022, the Company received a total of $3.4 million in cash for research and development (“R&amp;D”) incentive credit that the Company earned during the fiscal years 2021 and 2020 through the participation in the Australian research and development incentive credit program administered through the Australian Tax Office. The Company recorded the receipt as long-term liability until there is reasonable assurance that the </w:t>
      </w:r>
      <w:hyperlink r:id="rId26">
        <w:r>
          <w:rPr>
            <w:rFonts w:ascii="Arial" w:cs="Arial" w:eastAsia="Arial" w:hAnsi="Arial"/>
            <w:sz w:val="18"/>
            <w:szCs w:val="18"/>
            <w:color w:val="auto"/>
          </w:rPr>
          <w:t xml:space="preserve">Company will comply with the conditions attached to the incentive credit. See </w:t>
        </w:r>
        <w:r>
          <w:rPr>
            <w:rFonts w:ascii="Arial" w:cs="Arial" w:eastAsia="Arial" w:hAnsi="Arial"/>
            <w:sz w:val="18"/>
            <w:szCs w:val="18"/>
            <w:i w:val="1"/>
            <w:iCs w:val="1"/>
            <w:u w:val="single" w:color="auto"/>
            <w:color w:val="0000EE"/>
          </w:rPr>
          <w:t>Note 2. Summary of Significant Accounting</w:t>
        </w:r>
      </w:hyperlink>
      <w:r>
        <w:rPr>
          <w:rFonts w:ascii="Arial" w:cs="Arial" w:eastAsia="Arial" w:hAnsi="Arial"/>
          <w:sz w:val="18"/>
          <w:szCs w:val="18"/>
          <w:color w:val="auto"/>
        </w:rPr>
        <w:t xml:space="preserve"> </w:t>
      </w:r>
      <w:hyperlink r:id="rId26">
        <w:r>
          <w:rPr>
            <w:rFonts w:ascii="Arial" w:cs="Arial" w:eastAsia="Arial" w:hAnsi="Arial"/>
            <w:sz w:val="18"/>
            <w:szCs w:val="18"/>
            <w:i w:val="1"/>
            <w:iCs w:val="1"/>
            <w:u w:val="single" w:color="auto"/>
            <w:color w:val="0000EE"/>
          </w:rPr>
          <w:t>Policies in the Company’s 2021 Annual Report on Form 10-K</w:t>
        </w:r>
        <w:r>
          <w:rPr>
            <w:rFonts w:ascii="Arial" w:cs="Arial" w:eastAsia="Arial" w:hAnsi="Arial"/>
            <w:sz w:val="18"/>
            <w:szCs w:val="18"/>
            <w:i w:val="1"/>
            <w:iCs w:val="1"/>
            <w:color w:val="0000EE"/>
          </w:rPr>
          <w:t xml:space="preserve"> </w:t>
        </w:r>
        <w:r>
          <w:rPr>
            <w:rFonts w:ascii="Arial" w:cs="Arial" w:eastAsia="Arial" w:hAnsi="Arial"/>
            <w:sz w:val="18"/>
            <w:szCs w:val="18"/>
            <w:color w:val="000000"/>
          </w:rPr>
          <w:t>for accounting policies related to research and development</w:t>
        </w:r>
      </w:hyperlink>
      <w:r>
        <w:rPr>
          <w:rFonts w:ascii="Arial" w:cs="Arial" w:eastAsia="Arial" w:hAnsi="Arial"/>
          <w:sz w:val="18"/>
          <w:szCs w:val="18"/>
          <w:i w:val="1"/>
          <w:iCs w:val="1"/>
          <w:color w:val="0000EE"/>
        </w:rPr>
        <w:t xml:space="preserve"> </w:t>
      </w:r>
      <w:r>
        <w:rPr>
          <w:rFonts w:ascii="Arial" w:cs="Arial" w:eastAsia="Arial" w:hAnsi="Arial"/>
          <w:sz w:val="18"/>
          <w:szCs w:val="18"/>
          <w:color w:val="000000"/>
        </w:rPr>
        <w:t>incentive credits.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Company’s other long-term liabilities are summarized as follows (in thousands):</w:t>
      </w:r>
    </w:p>
    <w:p>
      <w:pPr>
        <w:spacing w:after="0" w:line="27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980" w:type="dxa"/>
            <w:vAlign w:val="bottom"/>
          </w:tcPr>
          <w:p>
            <w:pPr>
              <w:spacing w:after="0"/>
              <w:rPr>
                <w:sz w:val="14"/>
                <w:szCs w:val="14"/>
                <w:color w:val="auto"/>
              </w:rPr>
            </w:pPr>
          </w:p>
        </w:tc>
        <w:tc>
          <w:tcPr>
            <w:tcW w:w="158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30, 2022</w:t>
            </w:r>
          </w:p>
        </w:tc>
        <w:tc>
          <w:tcPr>
            <w:tcW w:w="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w w:val="91"/>
              </w:rPr>
              <w:t>December 31, 2021</w:t>
            </w:r>
          </w:p>
        </w:tc>
      </w:tr>
      <w:tr>
        <w:trPr>
          <w:trHeight w:val="210"/>
        </w:trPr>
        <w:tc>
          <w:tcPr>
            <w:tcW w:w="5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 incentive credit</w:t>
            </w:r>
          </w:p>
        </w:tc>
        <w:tc>
          <w:tcPr>
            <w:tcW w:w="480" w:type="dxa"/>
            <w:vAlign w:val="bottom"/>
            <w:tcBorders>
              <w:top w:val="single" w:sz="8" w:color="auto"/>
            </w:tcBorders>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3,402</w:t>
            </w: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tcPr>
          <w:p>
            <w:pPr>
              <w:ind w:left="20"/>
              <w:spacing w:after="0"/>
              <w:rPr>
                <w:sz w:val="20"/>
                <w:szCs w:val="20"/>
                <w:color w:val="auto"/>
              </w:rPr>
            </w:pPr>
            <w:r>
              <w:rPr>
                <w:rFonts w:ascii="Arial" w:cs="Arial" w:eastAsia="Arial" w:hAnsi="Arial"/>
                <w:sz w:val="18"/>
                <w:szCs w:val="18"/>
                <w:color w:val="auto"/>
              </w:rPr>
              <w:t>Lease obligation, long-term portion (see Note 4)</w:t>
            </w: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788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1,124</w:t>
            </w:r>
          </w:p>
        </w:tc>
      </w:tr>
      <w:tr>
        <w:trPr>
          <w:trHeight w:val="216"/>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Conditional economic incentive grants</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r>
      <w:tr>
        <w:trPr>
          <w:trHeight w:val="216"/>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2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r>
      <w:tr>
        <w:trPr>
          <w:trHeight w:val="210"/>
        </w:trPr>
        <w:tc>
          <w:tcPr>
            <w:tcW w:w="59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other long-term liabilities</w:t>
            </w:r>
          </w:p>
        </w:tc>
        <w:tc>
          <w:tcPr>
            <w:tcW w:w="480" w:type="dxa"/>
            <w:vAlign w:val="bottom"/>
            <w:tcBorders>
              <w:bottom w:val="single" w:sz="8" w:color="auto"/>
            </w:tcBorders>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4,506</w:t>
            </w:r>
          </w:p>
        </w:tc>
        <w:tc>
          <w:tcPr>
            <w:tcW w:w="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1,454</w:t>
            </w:r>
          </w:p>
        </w:tc>
      </w:tr>
      <w:tr>
        <w:trPr>
          <w:trHeight w:val="20"/>
        </w:trPr>
        <w:tc>
          <w:tcPr>
            <w:tcW w:w="59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Common Stock</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Public Offering</w:t>
      </w:r>
    </w:p>
    <w:p>
      <w:pPr>
        <w:spacing w:after="0" w:line="225"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On July 16, 2020, the Company offered and sold (i) 3,369,564 shares of common stock, at a price to the public of $23.00 per share, and (ii) pre-funded warrants of the Company to purchase 1,630,436 shares of common stock at an exercise price equal to $0.0001 per share (the “Pre-Funded Warrants”), at a price to the public of $22.9999 per share of common stock underlying the Pre-Funded Warrants (equal to the public offering price per share of Common Stock, minus the exercise price of each Pre-Funded Warrant). The Pre-Funded Warrants are exercisable at any time, provided that each Pre-Funded Warrant holder will be prohibited from exercising such Pre-Funded Warrants into shares of the Company’s common stock if, as a result of such exercise, the holder, together with its affiliates, would own more than 4.99% of the total number of shares of the Company’s common stock then issued and outstanding, which percentage may change at the holders’ election to any other number less than or equal to 19.99% upon 61 days’ notice to the Company. The gross proceeds of this offering were approximately $132.2 million, which includes the exercise in full of the underwriters’ option to purchase an additional 750,000 shares of common stock, before deducting underwriting discounts and commissions and offering expenses during the third quarter of 2020. The net proceeds of this offering were approximately $124.0 million, after deducting underwriting discounts and commissions and offering expenses payable by the Company.</w:t>
      </w:r>
    </w:p>
    <w:p>
      <w:pPr>
        <w:spacing w:after="0" w:line="174"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 xml:space="preserve">The Company has assessed the Pre-Funded Warrants for appropriate equity or liability classification and determined that the Pre-Funded Warrants are freestanding instruments that do not meet the definition of a liability pursuant to ASC 480 and do not meet the definition of a derivative pursuant to FASB Accounting Standards Codification Topic 815, </w:t>
      </w:r>
      <w:r>
        <w:rPr>
          <w:rFonts w:ascii="Arial" w:cs="Arial" w:eastAsia="Arial" w:hAnsi="Arial"/>
          <w:sz w:val="18"/>
          <w:szCs w:val="18"/>
          <w:i w:val="1"/>
          <w:iCs w:val="1"/>
          <w:color w:val="auto"/>
        </w:rPr>
        <w:t xml:space="preserve">Derivatives and Hedging </w:t>
      </w:r>
      <w:r>
        <w:rPr>
          <w:rFonts w:ascii="Arial" w:cs="Arial" w:eastAsia="Arial" w:hAnsi="Arial"/>
          <w:sz w:val="18"/>
          <w:szCs w:val="18"/>
          <w:color w:val="auto"/>
        </w:rPr>
        <w:t>(“ASC 815”). The Pre-Funded Warrants are indexed to the Company’s common stock and meet</w:t>
      </w:r>
      <w:r>
        <w:rPr>
          <w:rFonts w:ascii="Arial" w:cs="Arial" w:eastAsia="Arial" w:hAnsi="Arial"/>
          <w:sz w:val="18"/>
          <w:szCs w:val="18"/>
          <w:i w:val="1"/>
          <w:iCs w:val="1"/>
          <w:color w:val="auto"/>
        </w:rPr>
        <w:t xml:space="preserve"> </w:t>
      </w:r>
      <w:r>
        <w:rPr>
          <w:rFonts w:ascii="Arial" w:cs="Arial" w:eastAsia="Arial" w:hAnsi="Arial"/>
          <w:sz w:val="18"/>
          <w:szCs w:val="18"/>
          <w:color w:val="auto"/>
        </w:rPr>
        <w:t>all other conditions for equity classification under ASC 480 and ASC 815. Accordingly, the Pre-Funded Warrants are classified as equity and are accounted for as a component of additional paid-in capital at the time of issuance. As of September 30, 2022, 760,870 of the Pre-Funded Warrants were exercised, leaving 869,566 remaining Pre-Funded Warrants unexercised.</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At-the-Market Offerings</w:t>
      </w:r>
    </w:p>
    <w:p>
      <w:pPr>
        <w:spacing w:after="0" w:line="225"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On February 25, 2021, the Company entered into an Equity Distribution Agreement (the “2021 Agreement”) with Piper Sandler &amp; Co., Evercore Group L.L.C. and B. Riley Securities, Inc., serving as sales agents (the “Sales Agents”) with respect to an at-the-market offerings program under which the Company offered and sold shares of its common stock, par value $0.0001 per share (the “Common Stock”), having an aggregate offering price of up to $125.0 million (the “Shares”) through the Sales Agents (the “2021 Offering”). All the Shares offered and sold in the 2021 Offering were issued pursuant to the Company’s Registration Statement on Form S-3 filed with the Securities and Exchange Commission (the “SEC”) on December 31, 2020, which was declared effective on January 11, 2021 (“2021 Shelf”), the prospectus supplement relating to the 2021 Offering filed with the SEC on February 25, 2021 and any applicable additional prospectus supplements related to the 2021 Offering that form a part of the Registration Statement.</w:t>
      </w:r>
    </w:p>
    <w:p>
      <w:pPr>
        <w:spacing w:after="0" w:line="166"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During the nine months ended September 30, 2022, the Company sold 5,204,415 shares of Common Stock under the 2021 Agreement resulting in approximately $56.2 million in proceeds, net of $1.9 million commission and other offering costs. As of September 30, 2022, the Company has sold 10,004,869 shares of Common Stock under the 2021 Agreement resulting in approximately $121.0 million in proceeds, net of $4.0 million commission and other offering costs, As of September 30, 2022, there were no remaining shares available for issuance under the 2021 Agreement. The Company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recorded approximately $0.3 million of other offering costs which offset the proceeds received from the shares sold through September 30, 2022.</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Exchange Agreement</w:t>
      </w:r>
    </w:p>
    <w:p>
      <w:pPr>
        <w:spacing w:after="0" w:line="225"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 xml:space="preserve">On February 25, 2021, the Company entered into an exchange agreement (the “Exchange Agreement”) with an investor and its affiliates (the “Exchanging Stockholders”), pursuant to which the Company exchanged an aggregate of 1,000,000 shares of the Company’s common stock, par value $0.0001 per share, owned by the Exchanging Stockholders for pre-funded warrants (the “Exchange Warrants”) to purchase an aggregate of 1,000,000 shares of common stock (subject to adjustment in the event of any stock dividends and splits, reverse stock split, recapitalization, reorganization or similar transaction, as described in the Exchange Warrants), with an exercise price of $0.0001 per share. The Exchange Warrants did not have an expiration date and were exercisable at any time except that the Exchange Warrants could not be exercised by the Exchanging Stockholders if, after giving effect thereto, the Exchanging Stockholders would beneficially own more than 9.99% of the Company’s common stock, subject to certain exceptions. In accordance with FASB Accounting Standards Codification Topic 505, </w:t>
      </w:r>
      <w:r>
        <w:rPr>
          <w:rFonts w:ascii="Arial" w:cs="Arial" w:eastAsia="Arial" w:hAnsi="Arial"/>
          <w:sz w:val="16"/>
          <w:szCs w:val="16"/>
          <w:i w:val="1"/>
          <w:iCs w:val="1"/>
          <w:color w:val="auto"/>
        </w:rPr>
        <w:t>Equity</w:t>
      </w:r>
      <w:r>
        <w:rPr>
          <w:rFonts w:ascii="Arial" w:cs="Arial" w:eastAsia="Arial" w:hAnsi="Arial"/>
          <w:sz w:val="16"/>
          <w:szCs w:val="16"/>
          <w:color w:val="auto"/>
        </w:rPr>
        <w:t>, the Company recorded the retirement of the common stock exchanged as a reduction of common shares outstanding and a corresponding debit to additional paid-in-capital and accumulated deficit at the fair value of the Exchange Warrants on the issuance date. The Exchange Warrants were classified as equity in accordance with ASC 480 and the fair value of the Exchange Warrants was recorded as a credit to additional paid-in-capital and is not subject to remeasurement. The Company determined that the fair value of the Exchange Warrants is substantially similar to the fair value of the retired shares on the issuance date due to the negligible exercise price for the Exchange Warrants. On January 24, 2022, the Exchange Warrants to purchase 1,000,000 shares were net exercised, resulting in the issuance of 999,984 shares of common stock, and no Exchange Warrants remain outstanding.</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Warrants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 summary of warrant activity during the nine months ended September 30, 2022 is as follows:</w:t>
      </w:r>
    </w:p>
    <w:p>
      <w:pPr>
        <w:spacing w:after="0" w:line="11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49"/>
        </w:trPr>
        <w:tc>
          <w:tcPr>
            <w:tcW w:w="5700" w:type="dxa"/>
            <w:vAlign w:val="bottom"/>
          </w:tcPr>
          <w:p>
            <w:pPr>
              <w:spacing w:after="0"/>
              <w:rPr>
                <w:sz w:val="12"/>
                <w:szCs w:val="12"/>
                <w:color w:val="auto"/>
              </w:rPr>
            </w:pPr>
          </w:p>
        </w:tc>
        <w:tc>
          <w:tcPr>
            <w:tcW w:w="10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48"/>
        </w:trPr>
        <w:tc>
          <w:tcPr>
            <w:tcW w:w="57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Contractual Term</w:t>
            </w:r>
          </w:p>
        </w:tc>
        <w:tc>
          <w:tcPr>
            <w:tcW w:w="0" w:type="dxa"/>
            <w:vAlign w:val="bottom"/>
          </w:tcPr>
          <w:p>
            <w:pPr>
              <w:spacing w:after="0"/>
              <w:rPr>
                <w:sz w:val="1"/>
                <w:szCs w:val="1"/>
                <w:color w:val="auto"/>
              </w:rPr>
            </w:pPr>
          </w:p>
        </w:tc>
      </w:tr>
      <w:tr>
        <w:trPr>
          <w:trHeight w:val="171"/>
        </w:trPr>
        <w:tc>
          <w:tcPr>
            <w:tcW w:w="5700" w:type="dxa"/>
            <w:vAlign w:val="bottom"/>
          </w:tcPr>
          <w:p>
            <w:pPr>
              <w:spacing w:after="0"/>
              <w:rPr>
                <w:sz w:val="14"/>
                <w:szCs w:val="14"/>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Warrants</w:t>
            </w:r>
          </w:p>
        </w:tc>
        <w:tc>
          <w:tcPr>
            <w:tcW w:w="1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9"/>
              </w:rPr>
              <w:t>Exercise Price</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09"/>
        </w:trPr>
        <w:tc>
          <w:tcPr>
            <w:tcW w:w="5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Warrants outstanding, December 31, 2021</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2,776,191</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120"/>
              <w:spacing w:after="0"/>
              <w:rPr>
                <w:sz w:val="20"/>
                <w:szCs w:val="20"/>
                <w:color w:val="auto"/>
              </w:rPr>
            </w:pPr>
            <w:r>
              <w:rPr>
                <w:rFonts w:ascii="Arial" w:cs="Arial" w:eastAsia="Arial" w:hAnsi="Arial"/>
                <w:sz w:val="18"/>
                <w:szCs w:val="18"/>
                <w:color w:val="auto"/>
              </w:rPr>
              <w:t>Expired</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Exercises (see Note 8)</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(1,760,870)</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00" w:type="dxa"/>
            <w:vAlign w:val="bottom"/>
          </w:tcPr>
          <w:p>
            <w:pPr>
              <w:ind w:left="20"/>
              <w:spacing w:after="0"/>
              <w:rPr>
                <w:sz w:val="20"/>
                <w:szCs w:val="20"/>
                <w:color w:val="auto"/>
              </w:rPr>
            </w:pPr>
            <w:r>
              <w:rPr>
                <w:rFonts w:ascii="Arial" w:cs="Arial" w:eastAsia="Arial" w:hAnsi="Arial"/>
                <w:sz w:val="18"/>
                <w:szCs w:val="18"/>
                <w:color w:val="auto"/>
              </w:rPr>
              <w:t>Warrants outstanding, September 30, 2022</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1,015,166</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0.66</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The warrants outstanding as of September 30, 2022 included 869,566 Pre-Funded Warrants with an exercise price of $0.0001 per-share and no expiration date.</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 Stock-Based Compensation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The Company’s stock option awards generally vest over four years and typically have a contractual life of ten years. As of September 30, 2022, there was $13.7 million of unrecognized compensation cost related to stock options, which is expected to be recognized over a weighted-average period of 2.6 years. During the nine months ended September 30, 2022, the Company granted 1,433,427 stock options with a weighted average exercise price of $8.39 and per share weighted average grant date fair value of $6.97.</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Information related to stock options outstanding as of September 30, 2022 is as follows (in thousands, except share and per share data):</w:t>
      </w:r>
    </w:p>
    <w:p>
      <w:pPr>
        <w:spacing w:after="0" w:line="5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6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Weighted-</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Weighted-Average</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8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140" w:type="dxa"/>
            <w:vAlign w:val="bottom"/>
          </w:tcPr>
          <w:p>
            <w:pPr>
              <w:spacing w:after="0"/>
              <w:rPr>
                <w:sz w:val="12"/>
                <w:szCs w:val="12"/>
                <w:color w:val="auto"/>
              </w:rPr>
            </w:pPr>
          </w:p>
        </w:tc>
        <w:tc>
          <w:tcPr>
            <w:tcW w:w="12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4"/>
              </w:rPr>
              <w:t>Aggregate Intrinsic</w:t>
            </w:r>
          </w:p>
        </w:tc>
        <w:tc>
          <w:tcPr>
            <w:tcW w:w="0" w:type="dxa"/>
            <w:vAlign w:val="bottom"/>
          </w:tcPr>
          <w:p>
            <w:pPr>
              <w:spacing w:after="0"/>
              <w:rPr>
                <w:sz w:val="1"/>
                <w:szCs w:val="1"/>
                <w:color w:val="auto"/>
              </w:rPr>
            </w:pPr>
          </w:p>
        </w:tc>
      </w:tr>
      <w:tr>
        <w:trPr>
          <w:trHeight w:val="148"/>
        </w:trPr>
        <w:tc>
          <w:tcPr>
            <w:tcW w:w="26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Contractual Term</w:t>
            </w: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600" w:type="dxa"/>
            <w:vAlign w:val="bottom"/>
          </w:tcPr>
          <w:p>
            <w:pPr>
              <w:spacing w:after="0"/>
              <w:rPr>
                <w:sz w:val="14"/>
                <w:szCs w:val="14"/>
                <w:color w:val="auto"/>
              </w:rPr>
            </w:pPr>
          </w:p>
        </w:tc>
        <w:tc>
          <w:tcPr>
            <w:tcW w:w="2580" w:type="dxa"/>
            <w:vAlign w:val="bottom"/>
            <w:gridSpan w:val="2"/>
          </w:tcPr>
          <w:p>
            <w:pPr>
              <w:ind w:left="1700"/>
              <w:spacing w:after="0"/>
              <w:rPr>
                <w:sz w:val="20"/>
                <w:szCs w:val="20"/>
                <w:color w:val="auto"/>
              </w:rPr>
            </w:pPr>
            <w:r>
              <w:rPr>
                <w:rFonts w:ascii="Arial" w:cs="Arial" w:eastAsia="Arial" w:hAnsi="Arial"/>
                <w:sz w:val="14"/>
                <w:szCs w:val="14"/>
                <w:b w:val="1"/>
                <w:bCs w:val="1"/>
                <w:color w:val="auto"/>
                <w:w w:val="90"/>
              </w:rPr>
              <w:t>Stock Options</w:t>
            </w:r>
          </w:p>
        </w:tc>
        <w:tc>
          <w:tcPr>
            <w:tcW w:w="1180" w:type="dxa"/>
            <w:vAlign w:val="bottom"/>
            <w:gridSpan w:val="4"/>
          </w:tcPr>
          <w:p>
            <w:pPr>
              <w:ind w:left="160"/>
              <w:spacing w:after="0"/>
              <w:rPr>
                <w:sz w:val="20"/>
                <w:szCs w:val="20"/>
                <w:color w:val="auto"/>
              </w:rPr>
            </w:pPr>
            <w:r>
              <w:rPr>
                <w:rFonts w:ascii="Arial" w:cs="Arial" w:eastAsia="Arial" w:hAnsi="Arial"/>
                <w:sz w:val="14"/>
                <w:szCs w:val="14"/>
                <w:b w:val="1"/>
                <w:bCs w:val="1"/>
                <w:color w:val="auto"/>
              </w:rPr>
              <w:t>Exercise Price</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2"/>
              </w:rPr>
              <w:t>(Years)</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ind w:right="355"/>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9"/>
        </w:trPr>
        <w:tc>
          <w:tcPr>
            <w:tcW w:w="2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w:t>
            </w:r>
          </w:p>
        </w:tc>
        <w:tc>
          <w:tcPr>
            <w:tcW w:w="170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94"/>
              </w:rPr>
              <w:t>3,528,473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16,975</w:t>
            </w:r>
          </w:p>
        </w:tc>
        <w:tc>
          <w:tcPr>
            <w:tcW w:w="0" w:type="dxa"/>
            <w:vAlign w:val="bottom"/>
          </w:tcPr>
          <w:p>
            <w:pPr>
              <w:spacing w:after="0"/>
              <w:rPr>
                <w:sz w:val="1"/>
                <w:szCs w:val="1"/>
                <w:color w:val="auto"/>
              </w:rPr>
            </w:pPr>
          </w:p>
        </w:tc>
      </w:tr>
      <w:tr>
        <w:trPr>
          <w:trHeight w:val="20"/>
        </w:trPr>
        <w:tc>
          <w:tcPr>
            <w:tcW w:w="2600" w:type="dxa"/>
            <w:vAlign w:val="bottom"/>
            <w:vMerge w:val="restart"/>
          </w:tcPr>
          <w:p>
            <w:pPr>
              <w:spacing w:after="0"/>
              <w:rPr>
                <w:sz w:val="20"/>
                <w:szCs w:val="20"/>
                <w:color w:val="auto"/>
              </w:rPr>
            </w:pPr>
            <w:r>
              <w:rPr>
                <w:rFonts w:ascii="Arial" w:cs="Arial" w:eastAsia="Arial" w:hAnsi="Arial"/>
                <w:sz w:val="18"/>
                <w:szCs w:val="18"/>
                <w:color w:val="auto"/>
              </w:rPr>
              <w:t>Exercisable</w:t>
            </w:r>
          </w:p>
        </w:tc>
        <w:tc>
          <w:tcPr>
            <w:tcW w:w="1700" w:type="dxa"/>
            <w:vAlign w:val="bottom"/>
            <w:vMerge w:val="restart"/>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600" w:type="dxa"/>
            <w:vAlign w:val="bottom"/>
            <w:tcBorders>
              <w:bottom w:val="single" w:sz="8" w:color="CCEEFF"/>
            </w:tcBorders>
            <w:vMerge w:val="continue"/>
          </w:tcPr>
          <w:p>
            <w:pPr>
              <w:spacing w:after="0"/>
              <w:rPr>
                <w:sz w:val="20"/>
                <w:szCs w:val="20"/>
                <w:color w:val="auto"/>
              </w:rPr>
            </w:pPr>
          </w:p>
        </w:tc>
        <w:tc>
          <w:tcPr>
            <w:tcW w:w="1700" w:type="dxa"/>
            <w:vAlign w:val="bottom"/>
            <w:tcBorders>
              <w:bottom w:val="single" w:sz="8" w:color="CCEEFF"/>
            </w:tcBorders>
            <w:vMerge w:val="continue"/>
          </w:tcPr>
          <w:p>
            <w:pPr>
              <w:spacing w:after="0"/>
              <w:rPr>
                <w:sz w:val="20"/>
                <w:szCs w:val="20"/>
                <w:color w:val="auto"/>
              </w:rPr>
            </w:pPr>
          </w:p>
        </w:tc>
        <w:tc>
          <w:tcPr>
            <w:tcW w:w="88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w w:val="94"/>
              </w:rPr>
              <w:t>1,382,587</w:t>
            </w:r>
          </w:p>
        </w:tc>
        <w:tc>
          <w:tcPr>
            <w:tcW w:w="16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8.75</w:t>
            </w:r>
          </w:p>
        </w:tc>
        <w:tc>
          <w:tcPr>
            <w:tcW w:w="14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5.8</w:t>
            </w:r>
          </w:p>
        </w:tc>
        <w:tc>
          <w:tcPr>
            <w:tcW w:w="14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7,824</w:t>
            </w:r>
          </w:p>
        </w:tc>
        <w:tc>
          <w:tcPr>
            <w:tcW w:w="0" w:type="dxa"/>
            <w:vAlign w:val="bottom"/>
          </w:tcPr>
          <w:p>
            <w:pPr>
              <w:spacing w:after="0"/>
              <w:rPr>
                <w:sz w:val="1"/>
                <w:szCs w:val="1"/>
                <w:color w:val="auto"/>
              </w:rPr>
            </w:pPr>
          </w:p>
        </w:tc>
      </w:tr>
      <w:tr>
        <w:trPr>
          <w:trHeight w:val="197"/>
        </w:trPr>
        <w:tc>
          <w:tcPr>
            <w:tcW w:w="26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Unvested</w:t>
            </w:r>
          </w:p>
        </w:tc>
        <w:tc>
          <w:tcPr>
            <w:tcW w:w="17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ind w:left="100"/>
              <w:spacing w:after="0" w:line="196" w:lineRule="exact"/>
              <w:rPr>
                <w:sz w:val="20"/>
                <w:szCs w:val="20"/>
                <w:color w:val="auto"/>
              </w:rPr>
            </w:pPr>
            <w:r>
              <w:rPr>
                <w:rFonts w:ascii="Arial" w:cs="Arial" w:eastAsia="Arial" w:hAnsi="Arial"/>
                <w:sz w:val="18"/>
                <w:szCs w:val="18"/>
                <w:color w:val="auto"/>
                <w:w w:val="94"/>
              </w:rPr>
              <w:t>2,145,886</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9.31</w:t>
            </w:r>
          </w:p>
        </w:tc>
        <w:tc>
          <w:tcPr>
            <w:tcW w:w="1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6.0</w:t>
            </w:r>
          </w:p>
        </w:tc>
        <w:tc>
          <w:tcPr>
            <w:tcW w:w="1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9,151</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Restricted Stock</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As of September 30, 2022, the Company had unvested restricted stock of 13,454 shares with total unrecognized compensation expense of $47,000, which the Company expects to recognize over a weighted average period of approximately 0.2 years. During the nine months ended September 30, 2022, the Company issued 34,132 of unrestricted common stock as a result of the vesting of 60,546 restricted stock net of 26,414 shares of common stock withheld to satisfy tax withholding obligations.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Restricted Stock Units (RSUs)</w:t>
      </w:r>
    </w:p>
    <w:p>
      <w:pPr>
        <w:spacing w:after="0" w:line="225"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During the nine months ended September 30, 2022, the Company granted 285,000 shares of RSUs with a weighted average grant date fair value of $7.11 which vest over four years. As of September 30, 2022, the Company had unvested RSUs of 470,275 shares with total unrecognized compensation expense of $3.4 million, which the Company expects to recognize over a weighted average period of approximately 3.1 years. During the nine months ended September 30, 2022, the Company issued 30,373 shares of unrestricted common stock as a result of the vesting of 46,653 RSUs net of 16,280 shares of common stock withheld to satisfy tax withholding obligations.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2019 Employee Stock Purchase Plan (ESPP)</w:t>
      </w:r>
    </w:p>
    <w:p>
      <w:pPr>
        <w:spacing w:after="0" w:line="225"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Under the ESPP, employees purchased 26,395 shares for $0.2 million during the nine months ended September 30, 2022. During the three and nine months ended September 30, 2022, the Company recognized compensation expense of $0.1 million and $0.2 million respectively. During the three and nine months ended September 30, 2021, the Company recognized compensation expense of $29,000 and $0.3 million, respectively.</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Stock-based Compensation Expense</w:t>
      </w:r>
    </w:p>
    <w:p>
      <w:pPr>
        <w:spacing w:after="0" w:line="225" w:lineRule="exact"/>
        <w:rPr>
          <w:sz w:val="20"/>
          <w:szCs w:val="20"/>
          <w:color w:val="auto"/>
        </w:rPr>
      </w:pPr>
    </w:p>
    <w:p>
      <w:pPr>
        <w:jc w:val="both"/>
        <w:ind w:left="60" w:right="79" w:firstLine="648"/>
        <w:spacing w:after="0" w:line="308" w:lineRule="auto"/>
        <w:rPr>
          <w:sz w:val="20"/>
          <w:szCs w:val="20"/>
          <w:color w:val="auto"/>
        </w:rPr>
      </w:pPr>
      <w:r>
        <w:rPr>
          <w:rFonts w:ascii="Arial" w:cs="Arial" w:eastAsia="Arial" w:hAnsi="Arial"/>
          <w:sz w:val="17"/>
          <w:szCs w:val="17"/>
          <w:color w:val="auto"/>
        </w:rPr>
        <w:t>Stock-based compensation expense is classified in the unaudited consolidated statements of operations and comprehensive loss for the three and nine months ended September 30, 2022 and 2021 as follows (in thousands):</w: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940" w:type="dxa"/>
            <w:vAlign w:val="bottom"/>
            <w:gridSpan w:val="6"/>
          </w:tcPr>
          <w:p>
            <w:pPr>
              <w:spacing w:after="0"/>
              <w:rPr>
                <w:sz w:val="20"/>
                <w:szCs w:val="20"/>
                <w:color w:val="auto"/>
              </w:rPr>
            </w:pPr>
            <w:r>
              <w:rPr>
                <w:rFonts w:ascii="Arial" w:cs="Arial" w:eastAsia="Arial" w:hAnsi="Arial"/>
                <w:sz w:val="14"/>
                <w:szCs w:val="14"/>
                <w:b w:val="1"/>
                <w:bCs w:val="1"/>
                <w:color w:val="auto"/>
              </w:rPr>
              <w:t>For the Three Months Ended</w:t>
            </w:r>
          </w:p>
        </w:tc>
        <w:tc>
          <w:tcPr>
            <w:tcW w:w="1820" w:type="dxa"/>
            <w:vAlign w:val="bottom"/>
            <w:gridSpan w:val="5"/>
          </w:tcPr>
          <w:p>
            <w:pPr>
              <w:jc w:val="right"/>
              <w:spacing w:after="0"/>
              <w:rPr>
                <w:sz w:val="20"/>
                <w:szCs w:val="20"/>
                <w:color w:val="auto"/>
              </w:rPr>
            </w:pPr>
            <w:r>
              <w:rPr>
                <w:rFonts w:ascii="Arial" w:cs="Arial" w:eastAsia="Arial" w:hAnsi="Arial"/>
                <w:sz w:val="14"/>
                <w:szCs w:val="14"/>
                <w:b w:val="1"/>
                <w:bCs w:val="1"/>
                <w:color w:val="auto"/>
                <w:w w:val="96"/>
              </w:rPr>
              <w:t>For the Nine Months Ended</w:t>
            </w:r>
          </w:p>
        </w:tc>
      </w:tr>
      <w:tr>
        <w:trPr>
          <w:trHeight w:val="171"/>
        </w:trPr>
        <w:tc>
          <w:tcPr>
            <w:tcW w:w="5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gridSpan w:val="5"/>
          </w:tcPr>
          <w:p>
            <w:pPr>
              <w:ind w:left="2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640" w:type="dxa"/>
            <w:vAlign w:val="bottom"/>
            <w:gridSpan w:val="4"/>
          </w:tcPr>
          <w:p>
            <w:pPr>
              <w:jc w:val="right"/>
              <w:ind w:right="395"/>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514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2021</w:t>
            </w:r>
          </w:p>
        </w:tc>
      </w:tr>
      <w:tr>
        <w:trPr>
          <w:trHeight w:val="209"/>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w:t>
            </w:r>
          </w:p>
        </w:tc>
      </w:tr>
      <w:tr>
        <w:trPr>
          <w:trHeight w:val="216"/>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1,385</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4,185</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2,989</w:t>
            </w:r>
          </w:p>
        </w:tc>
      </w:tr>
      <w:tr>
        <w:trPr>
          <w:trHeight w:val="210"/>
        </w:trPr>
        <w:tc>
          <w:tcPr>
            <w:tcW w:w="5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2,128</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1,497</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6,209</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4,200</w:t>
            </w:r>
          </w:p>
        </w:tc>
      </w:tr>
      <w:tr>
        <w:trPr>
          <w:trHeight w:val="20"/>
        </w:trPr>
        <w:tc>
          <w:tcPr>
            <w:tcW w:w="5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U.S. Government Contracts and Grants</w:t>
      </w:r>
    </w:p>
    <w:p>
      <w:pPr>
        <w:spacing w:after="0" w:line="229"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In June 2020, the Company was awarded $4.7 million from the U.S. Army Medical Research &amp; Development Command (“USAMRDC”) to fund its Phase 1/2 clinical trial of T-COVID. The competitive award was granted by USAMRDC in collaboration with the Medical Technology Enterprise Consortium (“MTEC”), a 501(c)(3) biomedical technology consortium working in partnership with the Department of Defense (“DoD”). Under the contract, MTEC paid the Company a firm fixed fee based upon the achievement of certain milestones for conduct and completion of a Phase 1/2 study and research and development work on the replication-deficient adenovirus 5 (“RD-Ad5”) vector vaccine</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platform. For the nine months ended September 30, 2021, the Company recognized approximately $0.5 million of grant revenue under the contract, which completed the full recognition of this award. No revenue was recognized for this contract for the three and nine months ended September 30, 2022.</w:t>
      </w:r>
    </w:p>
    <w:p>
      <w:pPr>
        <w:spacing w:after="0" w:line="184"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In July 2016, the Company signed a five-year contract with Biomedical Advanced Research and Development Authority (“BARDA”). The contract, as amended, had a total value of up to $136.8 million to be used to fund clinical development of NasoShield. Under the contract, BARDA paid the Company a fixed fee and reimbursed certain costs for the research and development of an Ad5-vectored, protective antigen-based intranasal anthrax vaccine through cGMP manufacture and conduct of a Phase 1 clinical trial dose ranging assessment of safety and immunogenicity. The contract consisted of an initial base performance period providing approximately $30.9 million in funding for the period July 2016 through December 2021. BARDA had seven options to extend the contract to fund certain continued development and manufacturing activities for the anthrax vaccine, including Phase 2 clinical studies. Each option, if exercised by BARDA, would have provided additional funding ranging from approximately $1.1 million to $34.4 million for a three-year period beginning in 2021. For the three and nine months ended September 30, 2021, the Company recognized approximately $0.1 million and $0.4 million, respectively, of grant revenue under the BARDA contract. For the three and nine months ended September 30, 2022, the Company has recognized de minimis grant revenue related to the close-out of the BARDA contract. BARDA did not extend the contract beyond the end of December 2021.</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Income Taxes</w:t>
      </w:r>
    </w:p>
    <w:p>
      <w:pPr>
        <w:spacing w:after="0" w:line="229"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During the three and nine months ended September 30, 2022, the Company recorded a total of $0.2 million income tax benefit related to interest received and receivable on income tax refunds. Other than the tax benefit related to interest, the Company did not record an income tax benefit in the three and nine months ended September 30, 2022 and 2021 due to a full valuation allowance.</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Net Loss Per Share</w:t>
      </w:r>
    </w:p>
    <w:p>
      <w:pPr>
        <w:spacing w:after="0" w:line="229" w:lineRule="exact"/>
        <w:rPr>
          <w:sz w:val="20"/>
          <w:szCs w:val="20"/>
          <w:color w:val="auto"/>
        </w:rPr>
      </w:pPr>
    </w:p>
    <w:p>
      <w:pPr>
        <w:jc w:val="both"/>
        <w:ind w:left="60" w:right="79" w:firstLine="648"/>
        <w:spacing w:after="0" w:line="308" w:lineRule="auto"/>
        <w:rPr>
          <w:sz w:val="20"/>
          <w:szCs w:val="20"/>
          <w:color w:val="auto"/>
        </w:rPr>
      </w:pPr>
      <w:r>
        <w:rPr>
          <w:rFonts w:ascii="Arial" w:cs="Arial" w:eastAsia="Arial" w:hAnsi="Arial"/>
          <w:sz w:val="17"/>
          <w:szCs w:val="17"/>
          <w:color w:val="auto"/>
        </w:rPr>
        <w:t>Because the Company has reported a net loss attributable to common stockholders for all periods presented, basic and diluted net loss per share attributable to common stockholders are the same for all periods presented.</w:t>
      </w:r>
    </w:p>
    <w:p>
      <w:pPr>
        <w:spacing w:after="0" w:line="146"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Basic net loss per share attributable to common stockholders is computed by dividing the net loss attributable to common stockholders by the weighted average numbers of shares of common stock outstanding for the period. Basic shares outstanding includes the weighted average effect of the Company’s outstanding pre-funded warrants, the exercise of which requires little or no consideration for the delivery of shares of common stock.</w:t>
      </w:r>
    </w:p>
    <w:p>
      <w:pPr>
        <w:spacing w:after="0" w:line="171"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Diluted net loss per share is calculated by adjusting weighted average shares outstanding for the dilutive effect of common stock equivalents outstanding for the period. As such, all unvested restricted stock, restricted stock units, common stock warrants and stock options have been excluded from the computation of diluted weighted average shares outstanding because such securities would have an anti-dilutive impact for all periods presented.</w:t>
      </w:r>
    </w:p>
    <w:p>
      <w:pPr>
        <w:spacing w:after="0" w:line="171"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Potential common shares issuable upon conversion, vesting or exercise of unvested restricted stock, restricted stock units, common stock warrants and stock options that are excluded from the computation of diluted weighted-average shares outstanding, as they are anti-dilutive, are as follows:</w:t>
      </w:r>
    </w:p>
    <w:p>
      <w:pPr>
        <w:spacing w:after="0" w:line="81" w:lineRule="exact"/>
        <w:rPr>
          <w:sz w:val="20"/>
          <w:szCs w:val="20"/>
          <w:color w:val="auto"/>
        </w:rPr>
      </w:pPr>
    </w:p>
    <w:p>
      <w:pPr>
        <w:jc w:val="center"/>
        <w:ind w:left="6340"/>
        <w:spacing w:after="0"/>
        <w:rPr>
          <w:sz w:val="20"/>
          <w:szCs w:val="20"/>
          <w:color w:val="auto"/>
        </w:rPr>
      </w:pPr>
      <w:r>
        <w:rPr>
          <w:rFonts w:ascii="Arial" w:cs="Arial" w:eastAsia="Arial" w:hAnsi="Arial"/>
          <w:sz w:val="14"/>
          <w:szCs w:val="14"/>
          <w:b w:val="1"/>
          <w:bCs w:val="1"/>
          <w:color w:val="auto"/>
        </w:rPr>
        <w:t>For the Three and Nine Months Ended</w:t>
      </w:r>
    </w:p>
    <w:p>
      <w:pPr>
        <w:jc w:val="center"/>
        <w:ind w:left="6320"/>
        <w:spacing w:after="0" w:line="236" w:lineRule="auto"/>
        <w:rPr>
          <w:sz w:val="20"/>
          <w:szCs w:val="20"/>
          <w:color w:val="auto"/>
        </w:rPr>
      </w:pPr>
      <w:r>
        <w:rPr>
          <w:rFonts w:ascii="Arial" w:cs="Arial" w:eastAsia="Arial" w:hAnsi="Arial"/>
          <w:sz w:val="14"/>
          <w:szCs w:val="14"/>
          <w:b w:val="1"/>
          <w:bCs w:val="1"/>
          <w:color w:val="auto"/>
        </w:rPr>
        <w:t>September 30,</w:t>
      </w:r>
    </w:p>
    <w:tbl>
      <w:tblPr>
        <w:tblLayout w:type="fixed"/>
        <w:tblInd w:w="40" w:type="dxa"/>
        <w:tblCellMar>
          <w:top w:w="0" w:type="dxa"/>
          <w:left w:w="0" w:type="dxa"/>
          <w:bottom w:w="0" w:type="dxa"/>
          <w:right w:w="0" w:type="dxa"/>
        </w:tblCellMar>
      </w:tblPr>
      <w:tr>
        <w:trPr>
          <w:trHeight w:val="142"/>
        </w:trPr>
        <w:tc>
          <w:tcPr>
            <w:tcW w:w="3080" w:type="dxa"/>
            <w:vAlign w:val="bottom"/>
            <w:tcBorders>
              <w:bottom w:val="single" w:sz="8" w:color="CCEEFF"/>
            </w:tcBorders>
          </w:tcPr>
          <w:p>
            <w:pPr>
              <w:spacing w:after="0"/>
              <w:rPr>
                <w:sz w:val="12"/>
                <w:szCs w:val="12"/>
                <w:color w:val="auto"/>
              </w:rPr>
            </w:pPr>
          </w:p>
        </w:tc>
        <w:tc>
          <w:tcPr>
            <w:tcW w:w="3360" w:type="dxa"/>
            <w:vAlign w:val="bottom"/>
            <w:tcBorders>
              <w:bottom w:val="single" w:sz="8" w:color="CCEEFF"/>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319"/>
              <w:spacing w:after="0" w:line="142" w:lineRule="exact"/>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bottom w:val="single" w:sz="8" w:color="CCEEFF"/>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2"/>
                <w:szCs w:val="12"/>
                <w:color w:val="auto"/>
              </w:rPr>
            </w:pPr>
          </w:p>
        </w:tc>
      </w:tr>
      <w:tr>
        <w:trPr>
          <w:trHeight w:val="209"/>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warrants</w:t>
            </w:r>
          </w:p>
        </w:tc>
        <w:tc>
          <w:tcPr>
            <w:tcW w:w="3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145,600</w:t>
            </w:r>
          </w:p>
        </w:tc>
        <w:tc>
          <w:tcPr>
            <w:tcW w:w="24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145,755</w:t>
            </w:r>
          </w:p>
        </w:tc>
        <w:tc>
          <w:tcPr>
            <w:tcW w:w="20" w:type="dxa"/>
            <w:vAlign w:val="bottom"/>
          </w:tcPr>
          <w:p>
            <w:pPr>
              <w:spacing w:after="0"/>
              <w:rPr>
                <w:sz w:val="18"/>
                <w:szCs w:val="18"/>
                <w:color w:val="auto"/>
              </w:rPr>
            </w:pPr>
          </w:p>
        </w:tc>
      </w:tr>
      <w:tr>
        <w:trPr>
          <w:trHeight w:val="216"/>
        </w:trPr>
        <w:tc>
          <w:tcPr>
            <w:tcW w:w="3080" w:type="dxa"/>
            <w:vAlign w:val="bottom"/>
          </w:tcPr>
          <w:p>
            <w:pPr>
              <w:ind w:left="20"/>
              <w:spacing w:after="0"/>
              <w:rPr>
                <w:sz w:val="20"/>
                <w:szCs w:val="20"/>
                <w:color w:val="auto"/>
              </w:rPr>
            </w:pPr>
            <w:r>
              <w:rPr>
                <w:rFonts w:ascii="Arial" w:cs="Arial" w:eastAsia="Arial" w:hAnsi="Arial"/>
                <w:sz w:val="18"/>
                <w:szCs w:val="18"/>
                <w:color w:val="auto"/>
              </w:rPr>
              <w:t>Common stock options</w:t>
            </w:r>
          </w:p>
        </w:tc>
        <w:tc>
          <w:tcPr>
            <w:tcW w:w="4440" w:type="dxa"/>
            <w:vAlign w:val="bottom"/>
            <w:gridSpan w:val="2"/>
          </w:tcPr>
          <w:p>
            <w:pPr>
              <w:jc w:val="right"/>
              <w:spacing w:after="0"/>
              <w:rPr>
                <w:sz w:val="20"/>
                <w:szCs w:val="20"/>
                <w:color w:val="auto"/>
              </w:rPr>
            </w:pPr>
            <w:r>
              <w:rPr>
                <w:rFonts w:ascii="Arial" w:cs="Arial" w:eastAsia="Arial" w:hAnsi="Arial"/>
                <w:sz w:val="18"/>
                <w:szCs w:val="18"/>
                <w:color w:val="auto"/>
              </w:rPr>
              <w:t>3,542,534</w:t>
            </w:r>
          </w:p>
        </w:tc>
        <w:tc>
          <w:tcPr>
            <w:tcW w:w="240" w:type="dxa"/>
            <w:vAlign w:val="bottom"/>
          </w:tcPr>
          <w:p>
            <w:pPr>
              <w:spacing w:after="0"/>
              <w:rPr>
                <w:sz w:val="18"/>
                <w:szCs w:val="18"/>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2,626,482</w:t>
            </w:r>
          </w:p>
        </w:tc>
        <w:tc>
          <w:tcPr>
            <w:tcW w:w="20" w:type="dxa"/>
            <w:vAlign w:val="bottom"/>
          </w:tcPr>
          <w:p>
            <w:pPr>
              <w:spacing w:after="0"/>
              <w:rPr>
                <w:sz w:val="18"/>
                <w:szCs w:val="18"/>
                <w:color w:val="auto"/>
              </w:rPr>
            </w:pPr>
          </w:p>
        </w:tc>
      </w:tr>
      <w:tr>
        <w:trPr>
          <w:trHeight w:val="216"/>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units</w:t>
            </w:r>
          </w:p>
        </w:tc>
        <w:tc>
          <w:tcPr>
            <w:tcW w:w="4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470,275</w:t>
            </w:r>
          </w:p>
        </w:tc>
        <w:tc>
          <w:tcPr>
            <w:tcW w:w="24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207,529</w:t>
            </w:r>
          </w:p>
        </w:tc>
        <w:tc>
          <w:tcPr>
            <w:tcW w:w="20" w:type="dxa"/>
            <w:vAlign w:val="bottom"/>
          </w:tcPr>
          <w:p>
            <w:pPr>
              <w:spacing w:after="0"/>
              <w:rPr>
                <w:sz w:val="18"/>
                <w:szCs w:val="18"/>
                <w:color w:val="auto"/>
              </w:rPr>
            </w:pPr>
          </w:p>
        </w:tc>
      </w:tr>
      <w:tr>
        <w:trPr>
          <w:trHeight w:val="230"/>
        </w:trPr>
        <w:tc>
          <w:tcPr>
            <w:tcW w:w="3080" w:type="dxa"/>
            <w:vAlign w:val="bottom"/>
          </w:tcPr>
          <w:p>
            <w:pPr>
              <w:ind w:left="20"/>
              <w:spacing w:after="0"/>
              <w:rPr>
                <w:sz w:val="20"/>
                <w:szCs w:val="20"/>
                <w:color w:val="auto"/>
              </w:rPr>
            </w:pPr>
            <w:r>
              <w:rPr>
                <w:rFonts w:ascii="Arial" w:cs="Arial" w:eastAsia="Arial" w:hAnsi="Arial"/>
                <w:sz w:val="18"/>
                <w:szCs w:val="18"/>
                <w:color w:val="auto"/>
              </w:rPr>
              <w:t>Restricted stock</w:t>
            </w:r>
          </w:p>
        </w:tc>
        <w:tc>
          <w:tcPr>
            <w:tcW w:w="4440" w:type="dxa"/>
            <w:vAlign w:val="bottom"/>
            <w:gridSpan w:val="2"/>
          </w:tcPr>
          <w:p>
            <w:pPr>
              <w:jc w:val="right"/>
              <w:spacing w:after="0"/>
              <w:rPr>
                <w:sz w:val="20"/>
                <w:szCs w:val="20"/>
                <w:color w:val="auto"/>
              </w:rPr>
            </w:pPr>
            <w:r>
              <w:rPr>
                <w:rFonts w:ascii="Arial" w:cs="Arial" w:eastAsia="Arial" w:hAnsi="Arial"/>
                <w:sz w:val="18"/>
                <w:szCs w:val="18"/>
                <w:color w:val="auto"/>
              </w:rPr>
              <w:t>13,454</w:t>
            </w:r>
          </w:p>
        </w:tc>
        <w:tc>
          <w:tcPr>
            <w:tcW w:w="240" w:type="dxa"/>
            <w:vAlign w:val="bottom"/>
          </w:tcPr>
          <w:p>
            <w:pPr>
              <w:spacing w:after="0"/>
              <w:rPr>
                <w:sz w:val="20"/>
                <w:szCs w:val="20"/>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94,181</w:t>
            </w:r>
          </w:p>
        </w:tc>
        <w:tc>
          <w:tcPr>
            <w:tcW w:w="20" w:type="dxa"/>
            <w:vAlign w:val="bottom"/>
          </w:tcPr>
          <w:p>
            <w:pPr>
              <w:spacing w:after="0"/>
              <w:rPr>
                <w:sz w:val="20"/>
                <w:szCs w:val="20"/>
                <w:color w:val="auto"/>
              </w:rPr>
            </w:pPr>
          </w:p>
        </w:tc>
      </w:tr>
      <w:tr>
        <w:trPr>
          <w:trHeight w:val="877"/>
        </w:trPr>
        <w:tc>
          <w:tcPr>
            <w:tcW w:w="3080" w:type="dxa"/>
            <w:vAlign w:val="bottom"/>
          </w:tcPr>
          <w:p>
            <w:pPr>
              <w:spacing w:after="0"/>
              <w:rPr>
                <w:sz w:val="24"/>
                <w:szCs w:val="24"/>
                <w:color w:val="auto"/>
              </w:rPr>
            </w:pPr>
          </w:p>
        </w:tc>
        <w:tc>
          <w:tcPr>
            <w:tcW w:w="3360" w:type="dxa"/>
            <w:vAlign w:val="bottom"/>
          </w:tcPr>
          <w:p>
            <w:pPr>
              <w:jc w:val="right"/>
              <w:ind w:right="1790"/>
              <w:spacing w:after="0"/>
              <w:rPr>
                <w:sz w:val="20"/>
                <w:szCs w:val="20"/>
                <w:color w:val="auto"/>
              </w:rPr>
            </w:pPr>
            <w:r>
              <w:rPr>
                <w:rFonts w:ascii="Arial" w:cs="Arial" w:eastAsia="Arial" w:hAnsi="Arial"/>
                <w:sz w:val="18"/>
                <w:szCs w:val="18"/>
                <w:color w:val="auto"/>
              </w:rPr>
              <w:t>14</w:t>
            </w: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308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14. Commitments and Contingencies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Spitfire Acquisition</w:t>
      </w:r>
    </w:p>
    <w:p>
      <w:pPr>
        <w:spacing w:after="0" w:line="22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As disclosed in Note 6, the Company is obligated to make payments of up to $80.0 million upon the achievement of specified worldwide net sales of all products developed using the technology acquired from Spitfire Pharma Inc. within ten years following the approval of a new drug application filed with the FDA.</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jc w:val="both"/>
        <w:ind w:left="60" w:right="59" w:firstLine="648"/>
        <w:spacing w:after="0" w:line="267" w:lineRule="auto"/>
        <w:rPr>
          <w:sz w:val="20"/>
          <w:szCs w:val="20"/>
          <w:color w:val="auto"/>
        </w:rPr>
      </w:pPr>
      <w:r>
        <w:rPr>
          <w:rFonts w:ascii="Arial" w:cs="Arial" w:eastAsia="Arial" w:hAnsi="Arial"/>
          <w:sz w:val="17"/>
          <w:szCs w:val="17"/>
          <w:color w:val="auto"/>
        </w:rPr>
        <w:t>In December 2019, a complaint was filed by Dr. De-Chu Christopher Tang (“Plaintiff”) against the Company, which was removed to the United States District Court for the Eastern District of Texas. The Plaintiff amended the complaint in February 2020 to include Vipin K. Garg and David J. Drutz as defendants, in addition to the Company (Dr. Garg, Dr. Drutz, and the Company are collectively referred to as “Defendants”). In March 2020 the Defendants filed a motion to dismiss the complaint. The Court denied the motion without prejudice and allowed Plaintiff an opportunity to file an amended complaint. Plaintiff’s second amended complaint was filed on April 17, 2020, and Defendants filed a motion to dismiss that complaint on May 1, 2020. A hearing on Defendants’ motion to dismiss was held on May 20, 2020. Plaintiff, who is representing himself, alleges five causes of action as follows: (1) Defendants’ alleged retention of Plaintiff’s lab notebooks after the termination of his employment in 2012; (2) alleged plagiarism based on publishing an article without naming Plaintiff as an author; (3) use of the Adhigh System, which Plaintiff alleges he developed; (4) allegations that Defendants manipulated the Company’s stock and caused a decrease in value; and (5) allegations that the Defendants “wast[ed] government grant money and poison[ed] science by leaving data to rot.” On September 30, 2020, Plaintiff filed a motion titled “Motion to Proscribe Defendants’ Allegedly Illegal Use of Plaintiff’s AdHigh System in Altimmune’s Human Clinical Trials,” to which Defendants filed an opposition on October 13, 2020. The court has not yet ruled on that motion, which also remains pending. On November 6, 2020, Defendants filed a motion for summary judgment on the basis of lack of personal jurisdiction, insufficient service of process, and failure to state a claim. The court ruled on that motion on March 25, 2021, which dismissed the case on the basis of lack of personal jurisdiction. On December 1, 2020, the magistrate judge assigned to the case issued a report and recommendation that Defendants’ motion to dismiss of May 1, 2020 be granted and that this action be dismissed for lack of personal jurisdiction. Plaintiff filed objections to the report and recommendation on December 14, 2020, and the resolution of those objections by the district court remains pending.</w:t>
      </w:r>
    </w:p>
    <w:p>
      <w:pPr>
        <w:spacing w:after="0" w:line="18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In December 2021, the Plaintiff refiled the complaint in the United States District Court for the District of Maryland. On February 24, 2022, Defendants filed a memorandum containing a brief description of the planned motion and a concise summary of the factual and legal support for it. On the basis of that memorandum, the Court granted Defendants’ request to file a motion to dismiss and allowed Plaintiff an opportunity to file an amended complaint. Plaintiff’s amended complaint was filed on March 3, 2022, and Defendants filed a motion to dismiss that complaint on April 4, 2022. The Company believes the allegations in the complaint are without merit and intends to vigorously defend the litigation.</w:t>
      </w:r>
    </w:p>
    <w:p>
      <w:pPr>
        <w:spacing w:after="0" w:line="195" w:lineRule="exact"/>
        <w:rPr>
          <w:sz w:val="20"/>
          <w:szCs w:val="20"/>
          <w:color w:val="auto"/>
        </w:rPr>
      </w:pPr>
    </w:p>
    <w:p>
      <w:pPr>
        <w:jc w:val="both"/>
        <w:ind w:left="60" w:right="59" w:firstLine="648"/>
        <w:spacing w:after="0" w:line="308" w:lineRule="auto"/>
        <w:rPr>
          <w:sz w:val="20"/>
          <w:szCs w:val="20"/>
          <w:color w:val="auto"/>
        </w:rPr>
      </w:pPr>
      <w:r>
        <w:rPr>
          <w:rFonts w:ascii="Arial" w:cs="Arial" w:eastAsia="Arial" w:hAnsi="Arial"/>
          <w:sz w:val="17"/>
          <w:szCs w:val="17"/>
          <w:color w:val="auto"/>
        </w:rPr>
        <w:t>The Company is a party in various contracts and subject to disputes, litigation and potential claims arising in the ordinary course of business, none of which are currently reasonably possible or probable of material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together with our consolidated financial statements and related notes appearing elsewhere in this Quarterly Report on Form 10-Q and our consolidated financial statements and related notes for the year ended December 31, 2021 included in our Annual Report on Form 10-K, which was filed with the Securities and Exchange Commission on March 15, 2022.</w:t>
      </w:r>
    </w:p>
    <w:p>
      <w:pPr>
        <w:spacing w:after="0" w:line="157"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i w:val="1"/>
          <w:iCs w:val="1"/>
          <w:color w:val="auto"/>
        </w:rPr>
        <w:t>This Quarterly Report on Form 10-Q contains forward-looking statements that involve substantial risks and uncertainties. The words “expect,” “anticipate,” “intend,” “plan,” “believe,” “estimate,” “may,” “will,” “should,” “could,” “target,” “strategy,” “intend,” “project,” “guidance,” “likely,” “usually,” “potential,” or the negative of these words or variations of such words, similar expressions, or comparable terminology are intended to identify such forward-looking statements, although not all forward-looking statements contain these identifying words. There are a number of important risks and uncertainties that could cause our actual results to differ materially from those indicated by forward-looking statements.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A further list and description of risks, uncertainties and other factors that could cause actual results or events to differ materially from the forward-looking statements that we make is included in the cautionary statements herein and in our other filings with the Securities and Exchange Commission, including those set forth under Part I, Item 1A, Risk Factors in our Annual Report on Form 10-K for the year ended December 31, 2021. Our forward-looking statements do not reflect the potential impact of any future acquisitions, mergers, dispositions, joint ventures or investments that we may make.</w:t>
      </w:r>
    </w:p>
    <w:p>
      <w:pPr>
        <w:spacing w:after="0" w:line="171"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i w:val="1"/>
          <w:iCs w:val="1"/>
          <w:color w:val="auto"/>
        </w:rPr>
        <w:t>We have based the forward-looking statements included in this Quarterly Report on Form 10-Q on information available to us on the date of this quarterly report, and we assume no obligation to update any such forward-looking statements, other than as required by law. Although we undertake no obligation to revise or update any forward-looking statements, whether as a result of new information, future events or otherwise, you are advised to consult any additional disclosures that we may make directly to you or through reports that we, in the future, may file with the SEC, including Annual Reports on Form 10-K, Quarterly Reports on Form 10-Q and Current Reports on Form 8-K.</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Altimmune, Inc. is a clinical stage biopharmaceutical company focused on developing treatments for obesity and liver diseases. Our lead product candidate, pemvidutide (formerly known as ALT-801), is a GLP-1/glucagon receptor dual agonist that is being developed for the treatment of obesity and non-alcoholic steatohepatitis (“NASH”). In addition, we are developing HepTcell, an immunotherapeutic agent designed to achieve a functional cure for chronic hepatitis B.</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Impact of COVID-19</w:t>
      </w:r>
    </w:p>
    <w:p>
      <w:pPr>
        <w:spacing w:after="0" w:line="229"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We are closely monitoring how the spread of COVID-19, including any resurgences or the emergence of new variants, is affecting our employees, business, preclinical studies and clinical trials. We have reopened our executive office to allow employees to return to the office based on an approach that is intended to comply with federal and state guidelines, with a focus on employee safety and optimal work environment. We are continuing our regular interactions with the FDA and other regulatory agencies and, based on current information, we do not anticipate COVID-19 to materially affect our regulatory timelines for our ongoing clinical trials. Furthermore, as a government contractor, we are subject to the federal government vaccination mandate, which requires federal contractor employees, except in certain limited circumstances, to be vaccinated against COVID-19 by December 8, 2021. While the vaccination mandate remains subject to the interpretation of various government agencies and other entities, and questions remain regarding the specific application of the vaccination mandate, we are continuing to develop and implement health, safety, employment and operational protocols in order to timely comply with the vaccination mandate. As of and for the nine months ended September 30, 2022, the vaccination mandate has not had a material impact on our employees or operations.</w:t>
      </w:r>
    </w:p>
    <w:p>
      <w:pPr>
        <w:spacing w:after="0" w:line="168"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Although operations have not been materially affected by the COVID-19 pandemic as of and for the three and nine months ended September 30, 2022, at this time, however, disruptions caused by the COVID-19 pandemic may result in difficulties or delays in initiating, enrolling, conducting or completing our planned and ongoing trials and the incurrence</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of unforeseen costs as a result of disruptions in clinical supply or preclinical study or clinical trial delays. The impact of COVID-19 on our future results will largely depend on future developments, which are highly uncertain and cannot be predicted with confidence, such as the ultimate geographic spread of the disease, the duration of the pandemic, travel restrictions and social distancing in the United States and other countries, business closures or business disruptions, the ultimate impact on financial markets and the global economy, and the effectiveness of actions taken in the United States and other countries to contain and treat the disease. In addition, a recurrence of COVID-19 cases, or variants thereof, could cause other widespread or more severe impacts depending on where infection rates are highest. We continue to monitor developments as we deal with the disruptions and uncertainties relating to the COVID-19 pandemic. See “Risk Factors” in Part II, Item 1A of this Quarterly Report on Form 10-Q and “Item 1A. Risk Factors” of our Annual Report on Form 10-K for the year ended December 31, 2021.</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Global Events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Russia and Ukraine Conflict</w:t>
      </w:r>
    </w:p>
    <w:p>
      <w:pPr>
        <w:spacing w:after="0" w:line="225"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The military conflict in Russia and Ukraine that began in February 2022 continues as of the date of this quarterly report. As the conflict continues to evolve, we are closely monitoring the impact on our business. The conflict, and the sanctions and counter-sanctions imposed in response to it, have created increased economic uncertainty and operational complexity globally. While we have no direct exposure to Russia and Ukraine, and do not at the moment believe the situation will have a material impact on our operating results, we are monitoring any broader economic impact from the situation. Should the conflict continue or escalate, it could have a significant negative effect on the global economy or on our operations, including continued inflationary pressures on raw materials, supply chain and logistics disruptions, volatility in foreign exchange rates and interest rates and heightened cybersecurity threats.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U.S. Government Contracts and Grants</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In June 2020, we were awarded $4.7 million from the U.S. Army Medical Research &amp; Development Command (“USAMRDC”) to fund our Phase 1/2 clinical trial of T-COVID. The competitive award was granted by USAMRDC in collaboration with the Medical Technology Enterprise Consortium (“MTEC”), a 501(c)(3) biomedical technology consortium working in partnership with the Department of Defense (“DoD”). Under the contract, MTEC paid us a firm fixed fee based upon the achievement of certain milestones for conduct and completion of a Phase 1/2 study and research and development work on the replication-deficient adenovirus 5 (“RD-Ad5”) vector vaccine platform. For the nine months ended September 30, 2021, we recognized approximately $0.5 million of grant revenue under the contract, which completed the full recognition of this award. No revenue was recognized for this contract for the three and nine months ended September 30, 2022.</w:t>
      </w:r>
    </w:p>
    <w:p>
      <w:pPr>
        <w:spacing w:after="0" w:line="196"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In July 2016, we signed a five-year contract with Biomedical Advanced Research and Development Authority (“BARDA”). The contract, as amended, had a total value of up to $136.8 million to be used to fund clinical development of NasoShield. Under the contract, BARDA paid us a fixed fee and reimbursed certain costs for the research and development of an Ad5-vectored, protective antigen-based intranasal anthrax vaccine through cGMP manufacture and conduct of a Phase 1 clinical trial dose ranging assessment of safety and immunogenicity. The contract consisted of an initial base performance period providing approximately $30.9 million in funding for the period July 2016 through December 2021. BARDA had seven options to extend the contract to fund certain continued development and manufacturing activities for the anthrax vaccine, including Phase 2 clinical trials. Each option, if exercised by BARDA, would have provided additional funding ranging from approximately $1.1 million to $34.4 million for a three-year period beginning in 2021. For the three and nine months ended September 30, 2021, we recognized approximately $0.1 million and $0.4 million, respectively, of grant revenue under the BARDA contract. For the three and nine months ended September 30, 2022, we have recognized de minimis grant revenue related to the close-out of the BARDA contract. BARDA did not extend the contract beyond the end of December 2021.</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Significant Judgment and Estimates</w:t>
      </w:r>
    </w:p>
    <w:p>
      <w:pPr>
        <w:spacing w:after="0" w:line="229" w:lineRule="exact"/>
        <w:rPr>
          <w:sz w:val="20"/>
          <w:szCs w:val="20"/>
          <w:color w:val="auto"/>
        </w:rPr>
      </w:pPr>
    </w:p>
    <w:p>
      <w:pPr>
        <w:jc w:val="both"/>
        <w:ind w:left="60" w:right="59" w:firstLine="648"/>
        <w:spacing w:after="0" w:line="342" w:lineRule="auto"/>
        <w:rPr>
          <w:sz w:val="20"/>
          <w:szCs w:val="20"/>
          <w:color w:val="auto"/>
        </w:rPr>
      </w:pPr>
      <w:r>
        <w:rPr>
          <w:rFonts w:ascii="Arial" w:cs="Arial" w:eastAsia="Arial" w:hAnsi="Arial"/>
          <w:sz w:val="16"/>
          <w:szCs w:val="16"/>
          <w:color w:val="auto"/>
        </w:rPr>
        <w:t>Management’s Discussion and Analysis of Financial Condition and Results of Operations is based upon our unaudited consolidated financial statements, which have been prepared in accordance with accounting principles generally</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accepted in the U.S. and the rules and regulations of the SEC for interim financial reporting. The preparation of these financial statements requires us to make estimates and judgments that affect the reported amounts of assets, liabilities, revenues, expenses and the disclosure of contingent liabilities in our consolidated financial statements. We base our estimates and judgments on historical experience, knowledge of current conditions and expectations of what could occur in the future given available information.</w:t>
      </w:r>
    </w:p>
    <w:p>
      <w:pPr>
        <w:spacing w:after="0" w:line="188"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There have been no changes in our critical accounting policies and significant judgment and estimates as disclosed in our Annual Report on Form 10-K for the year ended December 31, 2021. For more information regarding our critical accounting policies, we encourage you to read the discussion contained in Item 7 under the heading “Critical Accounting Policies and Significant Judgments and Estimates” and Note 2 “Summary of Significant Accounting Policies” included in the notes to the consolidated financial statements contained in our Annual Report on Form 10-K for the year ended December 31, 2021.</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Comparison of the three months ended September 30, 2022 and 2021:</w:t>
      </w:r>
    </w:p>
    <w:p>
      <w:pPr>
        <w:spacing w:after="0" w:line="11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6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w w:val="96"/>
              </w:rPr>
              <w:t>For the Three Months Ended</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ind w:right="251"/>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ind w:right="273"/>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gridSpan w:val="3"/>
          </w:tcPr>
          <w:p>
            <w:pPr>
              <w:jc w:val="right"/>
              <w:ind w:right="270"/>
              <w:spacing w:after="0" w:line="142" w:lineRule="exact"/>
              <w:rPr>
                <w:sz w:val="20"/>
                <w:szCs w:val="20"/>
                <w:color w:val="auto"/>
              </w:rPr>
            </w:pPr>
            <w:r>
              <w:rPr>
                <w:rFonts w:ascii="Arial" w:cs="Arial" w:eastAsia="Arial" w:hAnsi="Arial"/>
                <w:sz w:val="14"/>
                <w:szCs w:val="14"/>
                <w:b w:val="1"/>
                <w:bCs w:val="1"/>
                <w:color w:val="auto"/>
                <w:w w:val="95"/>
              </w:rPr>
              <w:t>Increase (Decrease)</w:t>
            </w:r>
          </w:p>
        </w:tc>
        <w:tc>
          <w:tcPr>
            <w:tcW w:w="2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(156)</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20,262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29,206</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(8,944)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120"/>
              <w:spacing w:after="0"/>
              <w:rPr>
                <w:sz w:val="20"/>
                <w:szCs w:val="20"/>
                <w:color w:val="auto"/>
              </w:rPr>
            </w:pPr>
            <w:r>
              <w:rPr>
                <w:rFonts w:ascii="Arial" w:cs="Arial" w:eastAsia="Arial" w:hAnsi="Arial"/>
                <w:sz w:val="18"/>
                <w:szCs w:val="18"/>
                <w:color w:val="auto"/>
              </w:rPr>
              <w:t>General and administrative</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4,492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4,156</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336</w:t>
            </w:r>
          </w:p>
        </w:tc>
        <w:tc>
          <w:tcPr>
            <w:tcW w:w="1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8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24,754</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33,362</w:t>
            </w: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(8,608)</w:t>
            </w: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8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(24,752)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(33,204)</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8,452</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w:t>
            </w:r>
          </w:p>
        </w:tc>
        <w:tc>
          <w:tcPr>
            <w:tcW w:w="18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(64)</w:t>
            </w:r>
          </w:p>
        </w:tc>
        <w:tc>
          <w:tcPr>
            <w:tcW w:w="2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(33)</w:t>
            </w:r>
          </w:p>
        </w:tc>
        <w:tc>
          <w:tcPr>
            <w:tcW w:w="2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(31)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income</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8,000 %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120"/>
              <w:spacing w:after="0"/>
              <w:rPr>
                <w:sz w:val="20"/>
                <w:szCs w:val="20"/>
                <w:color w:val="auto"/>
              </w:rPr>
            </w:pPr>
            <w:r>
              <w:rPr>
                <w:rFonts w:ascii="Arial" w:cs="Arial" w:eastAsia="Arial" w:hAnsi="Arial"/>
                <w:sz w:val="18"/>
                <w:szCs w:val="18"/>
                <w:color w:val="auto"/>
              </w:rPr>
              <w:t>Other income (expense), net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(286)</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336</w:t>
            </w:r>
          </w:p>
        </w:tc>
        <w:tc>
          <w:tcPr>
            <w:tcW w:w="1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vMerge w:val="restart"/>
            <w:shd w:val="clear" w:color="auto" w:fill="CCEEFF"/>
          </w:tcPr>
          <w:p>
            <w:pPr>
              <w:ind w:left="220"/>
              <w:spacing w:after="0"/>
              <w:rPr>
                <w:sz w:val="20"/>
                <w:szCs w:val="20"/>
                <w:color w:val="auto"/>
              </w:rPr>
            </w:pPr>
            <w:r>
              <w:rPr>
                <w:rFonts w:ascii="Arial" w:cs="Arial" w:eastAsia="Arial" w:hAnsi="Arial"/>
                <w:sz w:val="18"/>
                <w:szCs w:val="18"/>
                <w:color w:val="auto"/>
              </w:rPr>
              <w:t>Total other income (expense), net</w:t>
            </w: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8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80" w:type="dxa"/>
            <w:vAlign w:val="bottom"/>
          </w:tcPr>
          <w:p>
            <w:pPr>
              <w:ind w:left="20"/>
              <w:spacing w:after="0"/>
              <w:rPr>
                <w:sz w:val="20"/>
                <w:szCs w:val="20"/>
                <w:color w:val="auto"/>
              </w:rPr>
            </w:pPr>
            <w:r>
              <w:rPr>
                <w:rFonts w:ascii="Arial" w:cs="Arial" w:eastAsia="Arial" w:hAnsi="Arial"/>
                <w:sz w:val="18"/>
                <w:szCs w:val="18"/>
                <w:color w:val="auto"/>
              </w:rPr>
              <w:t>Net loss before income taxes</w:t>
            </w: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(23,713)</w:t>
            </w: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(33,510)</w:t>
            </w:r>
          </w:p>
        </w:tc>
        <w:tc>
          <w:tcPr>
            <w:tcW w:w="1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9,797</w:t>
            </w:r>
          </w:p>
        </w:tc>
        <w:tc>
          <w:tcPr>
            <w:tcW w:w="180" w:type="dxa"/>
            <w:vAlign w:val="bottom"/>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8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80" w:type="dxa"/>
            <w:vAlign w:val="bottom"/>
          </w:tcPr>
          <w:p>
            <w:pPr>
              <w:ind w:left="20"/>
              <w:spacing w:after="0"/>
              <w:rPr>
                <w:sz w:val="20"/>
                <w:szCs w:val="20"/>
                <w:color w:val="auto"/>
              </w:rPr>
            </w:pPr>
            <w:r>
              <w:rPr>
                <w:rFonts w:ascii="Arial" w:cs="Arial" w:eastAsia="Arial" w:hAnsi="Arial"/>
                <w:sz w:val="18"/>
                <w:szCs w:val="18"/>
                <w:color w:val="auto"/>
              </w:rPr>
              <w:t>Net loss</w:t>
            </w:r>
          </w:p>
        </w:tc>
        <w:tc>
          <w:tcPr>
            <w:tcW w:w="1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(23,516)</w:t>
            </w:r>
          </w:p>
        </w:tc>
        <w:tc>
          <w:tcPr>
            <w:tcW w:w="1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(33,510)</w:t>
            </w:r>
          </w:p>
        </w:tc>
        <w:tc>
          <w:tcPr>
            <w:tcW w:w="1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9,994</w:t>
            </w:r>
          </w:p>
        </w:tc>
        <w:tc>
          <w:tcPr>
            <w:tcW w:w="18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8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280" w:type="dxa"/>
            <w:vAlign w:val="bottom"/>
          </w:tcPr>
          <w:p>
            <w:pPr>
              <w:spacing w:after="0"/>
              <w:rPr>
                <w:sz w:val="24"/>
                <w:szCs w:val="24"/>
                <w:color w:val="auto"/>
              </w:rPr>
            </w:pPr>
          </w:p>
        </w:tc>
        <w:tc>
          <w:tcPr>
            <w:tcW w:w="400" w:type="dxa"/>
            <w:vAlign w:val="bottom"/>
            <w:gridSpan w:val="2"/>
          </w:tcPr>
          <w:p>
            <w:pPr>
              <w:jc w:val="right"/>
              <w:ind w:right="47"/>
              <w:spacing w:after="0"/>
              <w:rPr>
                <w:sz w:val="20"/>
                <w:szCs w:val="20"/>
                <w:color w:val="auto"/>
              </w:rPr>
            </w:pPr>
            <w:r>
              <w:rPr>
                <w:rFonts w:ascii="Arial" w:cs="Arial" w:eastAsia="Arial" w:hAnsi="Arial"/>
                <w:sz w:val="18"/>
                <w:szCs w:val="18"/>
                <w:color w:val="auto"/>
              </w:rPr>
              <w:t>18</w:t>
            </w: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4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Comparison of the nine months ended September 30, 2022 and 2021:</w:t>
      </w:r>
    </w:p>
    <w:p>
      <w:pPr>
        <w:spacing w:after="0" w:line="11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w w:val="93"/>
              </w:rPr>
              <w:t>For the Nine Months Ended</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46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ind w:right="251"/>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ind w:right="273"/>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gridSpan w:val="3"/>
          </w:tcPr>
          <w:p>
            <w:pPr>
              <w:jc w:val="right"/>
              <w:ind w:right="270"/>
              <w:spacing w:after="0" w:line="142" w:lineRule="exact"/>
              <w:rPr>
                <w:sz w:val="20"/>
                <w:szCs w:val="20"/>
                <w:color w:val="auto"/>
              </w:rPr>
            </w:pPr>
            <w:r>
              <w:rPr>
                <w:rFonts w:ascii="Arial" w:cs="Arial" w:eastAsia="Arial" w:hAnsi="Arial"/>
                <w:sz w:val="14"/>
                <w:szCs w:val="14"/>
                <w:b w:val="1"/>
                <w:bCs w:val="1"/>
                <w:color w:val="auto"/>
                <w:w w:val="95"/>
              </w:rPr>
              <w:t>Increase (Decrease)</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w:t>
            </w: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(1,091)</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446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51,359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54,356</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(2,997)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460" w:type="dxa"/>
            <w:vAlign w:val="bottom"/>
            <w:gridSpan w:val="2"/>
          </w:tcPr>
          <w:p>
            <w:pPr>
              <w:ind w:left="12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13,329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11,636</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1,693</w:t>
            </w:r>
          </w:p>
        </w:tc>
        <w:tc>
          <w:tcPr>
            <w:tcW w:w="1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Impairment loss on construction-in-progress</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8,070</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(8,070)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10"/>
        </w:trPr>
        <w:tc>
          <w:tcPr>
            <w:tcW w:w="44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64,688</w:t>
            </w:r>
          </w:p>
        </w:tc>
        <w:tc>
          <w:tcPr>
            <w:tcW w:w="1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74,062</w:t>
            </w:r>
          </w:p>
        </w:tc>
        <w:tc>
          <w:tcPr>
            <w:tcW w:w="1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(9,374)</w:t>
            </w:r>
          </w:p>
        </w:tc>
        <w:tc>
          <w:tcPr>
            <w:tcW w:w="18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9"/>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(64,646)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(72,929)</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8,283</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4460" w:type="dxa"/>
            <w:vAlign w:val="bottom"/>
            <w:gridSpan w:val="2"/>
          </w:tcPr>
          <w:p>
            <w:pPr>
              <w:ind w:left="20"/>
              <w:spacing w:after="0"/>
              <w:rPr>
                <w:sz w:val="20"/>
                <w:szCs w:val="20"/>
                <w:color w:val="auto"/>
              </w:rPr>
            </w:pPr>
            <w:r>
              <w:rPr>
                <w:rFonts w:ascii="Arial" w:cs="Arial" w:eastAsia="Arial" w:hAnsi="Arial"/>
                <w:sz w:val="18"/>
                <w:szCs w:val="18"/>
                <w:color w:val="auto"/>
              </w:rPr>
              <w:t>Other income (expense):</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4460" w:type="dxa"/>
            <w:vAlign w:val="bottom"/>
            <w:gridSpan w:val="2"/>
          </w:tcPr>
          <w:p>
            <w:pPr>
              <w:ind w:left="12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1,402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88</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1,314</w:t>
            </w:r>
          </w:p>
        </w:tc>
        <w:tc>
          <w:tcPr>
            <w:tcW w:w="1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1,493 %</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 income (expense), net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(293)</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163 %</w:t>
            </w:r>
          </w:p>
        </w:tc>
        <w:tc>
          <w:tcPr>
            <w:tcW w:w="0" w:type="dxa"/>
            <w:vAlign w:val="bottom"/>
          </w:tcPr>
          <w:p>
            <w:pPr>
              <w:spacing w:after="0"/>
              <w:rPr>
                <w:sz w:val="1"/>
                <w:szCs w:val="1"/>
                <w:color w:val="auto"/>
              </w:rPr>
            </w:pPr>
          </w:p>
        </w:tc>
      </w:tr>
      <w:tr>
        <w:trPr>
          <w:trHeight w:val="209"/>
        </w:trPr>
        <w:tc>
          <w:tcPr>
            <w:tcW w:w="44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Total other income (expense), net</w:t>
            </w:r>
          </w:p>
        </w:tc>
        <w:tc>
          <w:tcPr>
            <w:tcW w:w="2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1,396</w:t>
            </w:r>
          </w:p>
        </w:tc>
        <w:tc>
          <w:tcPr>
            <w:tcW w:w="1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1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1,668</w:t>
            </w:r>
          </w:p>
        </w:tc>
        <w:tc>
          <w:tcPr>
            <w:tcW w:w="18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613</w:t>
            </w: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9"/>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 before income taxes</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(63,250)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(73,201)</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9,951</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4460" w:type="dxa"/>
            <w:vAlign w:val="bottom"/>
            <w:gridSpan w:val="2"/>
          </w:tcPr>
          <w:p>
            <w:pPr>
              <w:ind w:left="20"/>
              <w:spacing w:after="0"/>
              <w:rPr>
                <w:sz w:val="20"/>
                <w:szCs w:val="20"/>
                <w:color w:val="auto"/>
              </w:rPr>
            </w:pPr>
            <w:r>
              <w:rPr>
                <w:rFonts w:ascii="Arial" w:cs="Arial" w:eastAsia="Arial" w:hAnsi="Arial"/>
                <w:sz w:val="18"/>
                <w:szCs w:val="18"/>
                <w:color w:val="auto"/>
              </w:rPr>
              <w:t>Income tax benefit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197</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(63,053)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(73,201)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10,148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Revenue consists primarily of research grants in the United States from MTEC for our T-COVID product candidate and BARDA for our NasoShield vaccine product candidate. These grants consist of firm fixed fee contracts based on milestones and cost reimbursement contracts, with a fixed fee based on either costs incurred or milestones met. Our T-COVID and NasoShield programs were discontinued as of the end of 2021.</w:t>
      </w:r>
    </w:p>
    <w:p>
      <w:pPr>
        <w:spacing w:after="0" w:line="187"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Revenue decreased by $0.2 million, or 99% for the three months ended September 30, 2022 and $1.1 million, or 96%, for the nine months ended September 30, 2022, as compared to the three and nine months ended September 30, 2021. The decrease was primarily the result of the discontinuation of development work on both T-COVID and NasoShield programs as described above.</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Research  and  development  expense  decreased  by  $8.9  million,  or  31%,  for  the  three  months  ended</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September 30, 2022, as compared to the three months ended September 30, 2021. The decrease was primarily the result of:</w:t>
      </w:r>
    </w:p>
    <w:p>
      <w:pPr>
        <w:spacing w:after="0" w:line="234" w:lineRule="exact"/>
        <w:rPr>
          <w:sz w:val="20"/>
          <w:szCs w:val="20"/>
          <w:color w:val="auto"/>
        </w:rPr>
      </w:pPr>
    </w:p>
    <w:p>
      <w:pPr>
        <w:ind w:left="720" w:right="79" w:hanging="319"/>
        <w:spacing w:after="0" w:line="258"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decrease of $17.9 million due primarily to development activities for our COVID-19 programs, which included AdCOVID and T-COVID (which were discontinued in 2021);</w:t>
      </w:r>
    </w:p>
    <w:p>
      <w:pPr>
        <w:spacing w:after="0" w:line="1"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decrease of $1.7 million due to change in the fair value of contingent consideration liability with respect to the acquisition of pemvidutide, which was fully paid on June 10, 2022;</w:t>
      </w:r>
    </w:p>
    <w:p>
      <w:pPr>
        <w:ind w:left="720" w:right="79" w:hanging="319"/>
        <w:spacing w:after="0" w:line="250"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increase of $9.1 million due to the development activities for pemvidutide primarily due to the ongoing NAFLD trials and the MOMENTUM Phase 2 trial in obesity;</w:t>
      </w:r>
    </w:p>
    <w:p>
      <w:pPr>
        <w:ind w:left="720" w:hanging="319"/>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increase of $0.2 million due to development activities for HepTcell; and</w:t>
      </w:r>
    </w:p>
    <w:p>
      <w:pPr>
        <w:spacing w:after="0" w:line="9" w:lineRule="exact"/>
        <w:rPr>
          <w:rFonts w:ascii="Arial" w:cs="Arial" w:eastAsia="Arial" w:hAnsi="Arial"/>
          <w:sz w:val="18"/>
          <w:szCs w:val="18"/>
          <w:color w:val="auto"/>
        </w:rPr>
      </w:pPr>
    </w:p>
    <w:p>
      <w:pPr>
        <w:ind w:left="720" w:right="79" w:hanging="319"/>
        <w:spacing w:after="0" w:line="260"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net increase of $1.4 million due primarily to costs associated with non-project specific research and development costs including employee compensation and facility costs.</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Research  and  development  expense  decreased  by  $3.0  million,  or  6%,  for  the  nine  months  ended</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September 30, 2022, as compared to the nine months ended September 30, 2021. The decrease was primarily the result of:</w:t>
      </w:r>
    </w:p>
    <w:p>
      <w:pPr>
        <w:spacing w:after="0" w:line="234" w:lineRule="exact"/>
        <w:rPr>
          <w:sz w:val="20"/>
          <w:szCs w:val="20"/>
          <w:color w:val="auto"/>
        </w:rPr>
      </w:pPr>
    </w:p>
    <w:p>
      <w:pPr>
        <w:ind w:left="720" w:right="79" w:hanging="319"/>
        <w:spacing w:after="0" w:line="277"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decrease of $32.1 million due primarily to development activities for our COVID-19 programs, which included AdCOVID and T-COVID (which were discontinued in 2021);</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79" w:hanging="319"/>
        <w:spacing w:after="0" w:line="258"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decrease of $1.5 million due to change in the fair value of contingent consideration liability with respect to the acquisition of pemvidutide, which was fully paid on June 10, 2022;</w:t>
      </w:r>
    </w:p>
    <w:p>
      <w:pPr>
        <w:spacing w:after="0" w:line="1"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increase of $25.2 million due to the development activities for pemvidutide primarily due to the ongoing NAFLD trials and initiation of the MOMENTUM Phase 2 trial in obesity;</w:t>
      </w:r>
    </w:p>
    <w:p>
      <w:pPr>
        <w:ind w:left="720" w:hanging="319"/>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increase of $2.9 million due to development activities for HepTcell; and</w:t>
      </w:r>
    </w:p>
    <w:p>
      <w:pPr>
        <w:spacing w:after="0" w:line="9" w:lineRule="exact"/>
        <w:rPr>
          <w:rFonts w:ascii="Arial" w:cs="Arial" w:eastAsia="Arial" w:hAnsi="Arial"/>
          <w:sz w:val="18"/>
          <w:szCs w:val="18"/>
          <w:color w:val="auto"/>
        </w:rPr>
      </w:pPr>
    </w:p>
    <w:p>
      <w:pPr>
        <w:ind w:left="720" w:right="79" w:hanging="319"/>
        <w:spacing w:after="0" w:line="260"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net increase of $2.5 million due primarily to costs associated with non-project specific research and development costs including employee compensation and facility costs.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General and administrative expense increased by $0.3 million, or 8% for the three months ended September 30, 2022, as compared to the three months ended September 30, 2022, primarily due to increase in stock compensation expense. For the nine months ended September 30, 2022, general and administrative expense increased by $1.7 million, or 15%, as compared to the nine months ended September 30, 2021, due primarily to a $1.2 million increase in stock compensation and other labor related costs and $0.4 million increase in professional fees.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Impairment loss on construction-in-progress</w:t>
      </w:r>
    </w:p>
    <w:p>
      <w:pPr>
        <w:spacing w:after="0" w:line="225"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Impairment loss on construction-in-progress of $8.1 million reported during the nine months ended September 30, 2021 represents non-cash impairment charges recorded for assets that were previously capitalized in connection with the construction of the Lonza facility and subsequent discontinuation of AdCOVID. There were no such impairment charges reported during the nine months ended September 30, 2022.</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Total other income (expense), net</w:t>
      </w:r>
    </w:p>
    <w:p>
      <w:pPr>
        <w:spacing w:after="0" w:line="225"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color w:val="auto"/>
        </w:rPr>
        <w:t>Total other income (expense), net increased by $1.3 million and $1.7 million for the three and nine months ended September 30, 2022, as compared to the three and nine months ended September 30, 2021, respectively, primarily due to increase in interest income earned on our cash equivalents and short-term investments.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Income tax benefit</w:t>
      </w:r>
    </w:p>
    <w:p>
      <w:pPr>
        <w:spacing w:after="0" w:line="225" w:lineRule="exact"/>
        <w:rPr>
          <w:sz w:val="20"/>
          <w:szCs w:val="20"/>
          <w:color w:val="auto"/>
        </w:rPr>
      </w:pPr>
    </w:p>
    <w:p>
      <w:pPr>
        <w:jc w:val="both"/>
        <w:ind w:left="60" w:right="79" w:firstLine="648"/>
        <w:spacing w:after="0" w:line="259" w:lineRule="auto"/>
        <w:rPr>
          <w:sz w:val="20"/>
          <w:szCs w:val="20"/>
          <w:color w:val="auto"/>
        </w:rPr>
      </w:pPr>
      <w:r>
        <w:rPr>
          <w:rFonts w:ascii="Arial" w:cs="Arial" w:eastAsia="Arial" w:hAnsi="Arial"/>
          <w:sz w:val="18"/>
          <w:szCs w:val="18"/>
          <w:color w:val="auto"/>
        </w:rPr>
        <w:t>Income tax benefit of $0.2 million related to interest received and receivable on income tax refunds was recorded during the three and nine months ended September 30, 2022. Other than the income tax benefit related to interest, we did not record an income tax benefit in the three and nine months ended September 30, 2022 and 2021 due to a full valuation allowance.</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Our primary sources of cash during the nine months ended September 30, 2022 were from equity transactions. Our cash, cash equivalents, restricted cash and short-term investments were $201.9 million as of September 30, 2022. We believe, based on the operating cash requirements and capital expenditures expected for 2022 and 2023, our cash on hand as of September 30, 2022, together with expected cash receipts from our income tax refunds and R&amp;D incentives, are sufficient to fund operations for at least a twelve-month period from the issuance date of our September 30, 2022 consolidated financial statements.</w:t>
      </w:r>
    </w:p>
    <w:p>
      <w:pPr>
        <w:spacing w:after="0" w:line="219"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We have not generated any revenues from the sale of any products to date, and there is no assurance of any future revenues from product sales. Our sources of revenue have consisted of grant revenues under our arrangements with BARDA for the development of NasoShield, MTEC for a clinical trial and development work on T-COVID, and to a lesser degree from other licensing arrangements. We have incurred significant losses since we commenced operations. As of September 30, 2022, we had an accumulated deficit of $356.2 million. In addition, we have not generated positive cash flows from operations. We have had to rely on a variety of financing sources, including the issuance of debt and equity</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securities. As capital resources are consumed to fund our research and development activities, we may require additional capital beyond our currently anticipated amounts. In order to address our capital needs, including our planned clinical trials, we must continue to actively pursue additional equity or debt financing, government funding, and monetization of our existing programs through partnership arrangements or sales to third parties.</w:t>
      </w:r>
    </w:p>
    <w:p>
      <w:pPr>
        <w:spacing w:after="0" w:line="187"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On December 31, 2020, we filed a shelf registration statement on Form S-3, which was declared effective by the SEC on January 11, 2021. This shelf registration statement covered the offering, issuance and sale by us of up to an aggregate of $250.0 million of our common stock, preferred stock, debt securities, warrants, rights and units (the “2021 Shelf”). As of September 30, 2022, approximately $125.0 million remained available to be sold under the 2021 Shelf.</w:t>
      </w:r>
    </w:p>
    <w:p>
      <w:pPr>
        <w:spacing w:after="0" w:line="157"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In June 2020, we were awarded $4.7 million from the U.S. Army Medical Research &amp; Development Command (“USAMRDC”) to fund our Phase 1/2 clinical trial of T-COVID. The competitive award was granted by USAMRDC in collaboration with the Medical Technology Enterprise Consortium (“MTEC”), a 501(c)(3) biomedical technology consortium working in partnership with the Department of Defense (“DoD”). Under the contract, MTEC paid us a firm fixed fee based upon the achievement of certain milestones for conduct and completion of a Phase 1/2 study and research and development work on the replication-deficient adenovirus 5 (“RD-Ad5”) vector vaccine platform. Through September 30, 2022, we have collected approximately $4.7 million in cash under the contract, which completed the full recognition of this award.</w:t>
      </w:r>
    </w:p>
    <w:p>
      <w:pPr>
        <w:spacing w:after="0" w:line="192"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In July 2016, we signed a five-year contract with BARDA. The contract, as amended, had a total value of up to $136.8 million to be used to fund clinical development of NasoShield. Under the contract, BARDA paid us a fixed fee and reimbursed certain costs for the research and development of an Ad5-vectored, protective antigen-based intranasal anthrax vaccine through cGMP manufacture and conduct of a Phase 1 clinical trial dose ranging assessment of safety and immunogenicity. The contract consisted of an initial base performance period providing approximately $30.9 million in funding for the period July 2016 through December 2021. BARDA had seven options to extend the contract to fund certain continued development and manufacturing activities for the anthrax vaccine, including Phase 2 clinical trials. Each option, if exercised by BARDA, would have provided additional funding ranging from approximately $1.1 million to $34.4 million for a three-year period beginning in 2021. Through September 30, 2022, we have collected approximately $29.3 million in cash under the BARDA contract. BARDA did not extend the contract beyond the end of December 2021.</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Flows</w:t>
      </w:r>
    </w:p>
    <w:p>
      <w:pPr>
        <w:spacing w:after="0" w:line="225"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The following table provides information regarding our cash flows for the nine months ended September 30, 2022 and 2021:</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24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4"/>
          </w:tcPr>
          <w:p>
            <w:pPr>
              <w:jc w:val="right"/>
              <w:ind w:right="194"/>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142"/>
        </w:trPr>
        <w:tc>
          <w:tcPr>
            <w:tcW w:w="62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ind w:right="376"/>
              <w:spacing w:after="0" w:line="142" w:lineRule="exact"/>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right"/>
              <w:ind w:right="374"/>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6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cash (used in) provided by:</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gridSpan w:val="2"/>
          </w:tcPr>
          <w:p>
            <w:pPr>
              <w:ind w:left="120"/>
              <w:spacing w:after="0"/>
              <w:rPr>
                <w:sz w:val="20"/>
                <w:szCs w:val="20"/>
                <w:color w:val="auto"/>
              </w:rPr>
            </w:pPr>
            <w:r>
              <w:rPr>
                <w:rFonts w:ascii="Arial" w:cs="Arial" w:eastAsia="Arial" w:hAnsi="Arial"/>
                <w:sz w:val="18"/>
                <w:szCs w:val="18"/>
                <w:color w:val="auto"/>
              </w:rPr>
              <w:t>Operating activities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(45,280)</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(56,271)</w:t>
            </w:r>
          </w:p>
        </w:tc>
        <w:tc>
          <w:tcPr>
            <w:tcW w:w="0" w:type="dxa"/>
            <w:vAlign w:val="bottom"/>
          </w:tcPr>
          <w:p>
            <w:pPr>
              <w:spacing w:after="0"/>
              <w:rPr>
                <w:sz w:val="1"/>
                <w:szCs w:val="1"/>
                <w:color w:val="auto"/>
              </w:rPr>
            </w:pPr>
          </w:p>
        </w:tc>
      </w:tr>
      <w:tr>
        <w:trPr>
          <w:trHeight w:val="216"/>
        </w:trPr>
        <w:tc>
          <w:tcPr>
            <w:tcW w:w="6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Investing activities</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(74,380)</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62,654</w:t>
            </w:r>
          </w:p>
        </w:tc>
        <w:tc>
          <w:tcPr>
            <w:tcW w:w="0" w:type="dxa"/>
            <w:vAlign w:val="bottom"/>
          </w:tcPr>
          <w:p>
            <w:pPr>
              <w:spacing w:after="0"/>
              <w:rPr>
                <w:sz w:val="1"/>
                <w:szCs w:val="1"/>
                <w:color w:val="auto"/>
              </w:rPr>
            </w:pPr>
          </w:p>
        </w:tc>
      </w:tr>
      <w:tr>
        <w:trPr>
          <w:trHeight w:val="216"/>
        </w:trPr>
        <w:tc>
          <w:tcPr>
            <w:tcW w:w="624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Financing activities</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56,824</w:t>
            </w: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52,563</w:t>
            </w:r>
          </w:p>
        </w:tc>
        <w:tc>
          <w:tcPr>
            <w:tcW w:w="0" w:type="dxa"/>
            <w:vAlign w:val="bottom"/>
          </w:tcPr>
          <w:p>
            <w:pPr>
              <w:spacing w:after="0"/>
              <w:rPr>
                <w:sz w:val="1"/>
                <w:szCs w:val="1"/>
                <w:color w:val="auto"/>
              </w:rPr>
            </w:pPr>
          </w:p>
        </w:tc>
      </w:tr>
      <w:tr>
        <w:trPr>
          <w:trHeight w:val="210"/>
        </w:trPr>
        <w:tc>
          <w:tcPr>
            <w:tcW w:w="6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(decrease) increase in cash and cash equivalents and restricted cash</w:t>
            </w: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(62,836)</w:t>
            </w:r>
          </w:p>
        </w:tc>
        <w:tc>
          <w:tcPr>
            <w:tcW w:w="2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58,946</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Net cash used in operating activities was $45.3 million for the nine months ended September 30, 2022 compared to $56.3 million during the nine months ended September 30, 2021. The primary uses of cash from our operating activities include payments for labor and labor-related costs, professional fees, research and development costs associated with our clinical trials and other general corporate expenditures. The decrease in cash used in operations of $11.0 million year over year is due to changes in working capital accounts of $9.3 million and a decrease in net loss as adjusted for non-cash items of $1.7 million.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Net cash used in investing activities was $74.4 million for the nine months ended September 30, 2022 compared to $62.7 million net cash provided during the nine months ended September 30, 2021. The net cash used in investing activities during the nine months ended September 30, 2022 was primarily due to purchase of short-term investments. The net cash provided by investing activities during the nine months ended September 30, 2021 was primarily due to $74.8 million net proceeds from short-term investment activity, partially offset by a $12.0 million purchases of property and equipment.</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Net cash provided by financing activities during the nine months ended September 30, 2022 was $56.8 million compared to $52.6 million for the nine months ended September 30, 2021. The net cash provided by financing activities during the nine months ended September 30, 2022 was primarily the result of the receipt of $56.2 million in net proceeds from the issuance of common stock from our at-the-market offerings program and $0.5 million in net proceeds from exercise of stock options. The net cash provided by financing activities during the nine months ended September 30, 2021 was primarily the result of the receipt of $52.4 million in net proceeds from the issuance of common stock from our at-the-market offerings program.</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Financing</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Public Offering</w:t>
      </w:r>
    </w:p>
    <w:p>
      <w:pPr>
        <w:spacing w:after="0" w:line="225"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On July 16, 2020, we offered and sold (i) 3,369,564 shares of our common stock, at a price to the public of $23.00 per share, and (ii) pre-funded warrants to purchase 1,630,436 shares of our common stock at an exercise price equal to $0.0001 per share (the “Pre-Funded Warrants”), at a price to the public of $22.9999 per share of common stock underlying the Pre-Funded Warrants (equal to the public offering price per share of Common Stock, minus the exercise price of each Pre-Funded Warrant). The Pre-Funded Warrants are exercisable at any time, provided that each Pre-Funded Warrant holder will be prohibited from exercising such Pre-Funded Warrants into shares of our common stock if, as a result of such exercise, the holder, together with its affiliates, would own more than 4.99% of the total number of shares of our common stock then issued and outstanding, which percentage may change at the holders’ election to any other number less than or equal to 19.99% upon 61 days’ notice to us. The gross proceeds of this offering were approximately $132.2 million, which includes the exercise in full of the underwriters’ option to purchase an additional 750,000 shares of common stock, before deducting underwriting discounts and commissions and offering expenses during the third quarter of 2020. The net proceeds of this offering were approximately $124.0 million, after deducting underwriting discounts and commissions and offering expenses payable by us. As of September 30, 2022, 760,870 of the Pre-Funded Warrants were exercised, leaving 869,566 remaining Pre-Funded Warrants unexercised.</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At-the-Market Offerings</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On February 25, 2021, we entered into an Equity Distribution Agreement (the “2021 Agreement”) with Piper Sandler &amp; Co., Evercore Group L.L.C. and B. Riley Securities, Inc., serving as sales agents (the “Sales Agents”) with respect to an at-the-market offerings program under which we offered and sold shares of our common stock, par value $0.0001 per share (the “Common Stock”), having an aggregate offering price of up to $125.0 million through the Sales Agents from the 2021 Shelf.</w:t>
      </w:r>
    </w:p>
    <w:p>
      <w:pPr>
        <w:spacing w:after="0" w:line="188"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During the nine months ended September 30, 2022, we sold 5,204,415 shares of Common Stock under the 2021 Agreement resulting in approximately $56.2 million in net proceeds. As of September 30, 2022, we sold 10,004,869 shares of Common Stock under the 2021 Agreement resulting in approximately $121.0 million in net proceeds. As of September 30, 2022, there were no remaining shares available for issuance under the 2021 Agreement.</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Current Resources</w:t>
      </w:r>
    </w:p>
    <w:p>
      <w:pPr>
        <w:spacing w:after="0" w:line="229"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We have financed our operations to date principally through our equity offerings and proceeds from issuances of our preferred stock, common stock and warrants. As of September 30, 2022, we had $127.5 million of cash, cash equivalents and restricted cash and $74.4 million of short-term investments. Accordingly, management believes that we have sufficient capital to fund our plan of operations for at least a twelve-month period from the issuance date of our September 30, 2022 financial statements. However, in order to address our capital needs in the long-term, including potential future clinical trials, we must continue to actively pursue additional equity or debt financing, government funding, and monetization of our existing programs through partnership arrangements or sales to third parties.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Securities and Exchange Commission.</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As a “smaller reporting company” as defined by Item 10 of Regulation S-K, we are not required to provide the information required by this Item.</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Our management, with the participation of our principal executive officer and principal financial officer, evaluated the effectiveness of our disclosure controls and procedures pursuant to Rule 13a-15 under the Securities Exchange Act of 1934, as amended (“the “Exchange Act”) as of the end of the period covered by this Quarterly Report on Form 10-Q.</w:t>
      </w:r>
    </w:p>
    <w:p>
      <w:pPr>
        <w:spacing w:after="0" w:line="149"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Based on this evaluation, our principal executive officer and principal financial officer concluded that, as of September 30, 2022, our disclosure controls and procedures were effective to provide reasonable assurance that information we are required to disclose in reports that we file or submit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There were no changes in our internal control over financial reporting (as defined in Rule 13a-15(f) and Rule 15d-15(f) under the Exchange Act) during the quarter ended September 30, 2022 identified in connection with the evaluation thereof by our management, including the Chief Executive Officer and Chief Financial Officer, that materially affected, or are reasonably likely to materially affect, our internal control over financial reporting.</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From time to time, we may be involved in various legal proceedings arising from the normal course of business activities. Defending such proceedings is costly and can impose a significant burden on management and employees.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 w:name="page26"/>
    <w:bookmarkEnd w:id="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In December 2019, a complaint was filed by Dr. De-Chu Christopher Tang (“Plaintiff”) against us, which we removed to the United States District Court for the Eastern District of Texas. The Plaintiff amended the complaint in February 2020 to include Vipin K. Garg and David J. Drutz as defendants, in addition to the Company (Dr. Garg, Dr. Drutz, and the Company are collectively referred to as “Defendants”). In December 2021, the Plaintiff refiled the complaint in the United States District Court for the District of Maryland. See Note 14 to the consolidated financial statements appearing in Item 1 of this report for further details.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There have been no material changes from the risk factors disclosed in our Annual Report on Form 10-K filed with the SEC on March 15, 2022.</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 upon Senior Securities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6479"/>
        <w:spacing w:after="0"/>
        <w:rPr>
          <w:sz w:val="20"/>
          <w:szCs w:val="20"/>
          <w:color w:val="auto"/>
        </w:rPr>
      </w:pPr>
      <w:r>
        <w:rPr>
          <w:rFonts w:ascii="Arial" w:cs="Arial" w:eastAsia="Arial" w:hAnsi="Arial"/>
          <w:sz w:val="16"/>
          <w:szCs w:val="16"/>
          <w:b w:val="1"/>
          <w:bCs w:val="1"/>
          <w:color w:val="auto"/>
        </w:rPr>
        <w:t>Item 4. Mine Safety Disclosures</w:t>
      </w:r>
    </w:p>
    <w:p>
      <w:pPr>
        <w:spacing w:after="0" w:line="25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239"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60" w:type="dxa"/>
            <w:vAlign w:val="bottom"/>
            <w:gridSpan w:val="4"/>
          </w:tcPr>
          <w:p>
            <w:pPr>
              <w:ind w:left="3400"/>
              <w:spacing w:after="0"/>
              <w:rPr>
                <w:sz w:val="20"/>
                <w:szCs w:val="20"/>
                <w:color w:val="auto"/>
              </w:rPr>
            </w:pPr>
            <w:r>
              <w:rPr>
                <w:rFonts w:ascii="Arial" w:cs="Arial" w:eastAsia="Arial" w:hAnsi="Arial"/>
                <w:sz w:val="18"/>
                <w:szCs w:val="18"/>
                <w:b w:val="1"/>
                <w:bCs w:val="1"/>
                <w:color w:val="auto"/>
              </w:rPr>
              <w:t>Exhibit Index</w:t>
            </w:r>
          </w:p>
        </w:tc>
      </w:tr>
      <w:tr>
        <w:trPr>
          <w:trHeight w:val="432"/>
        </w:trPr>
        <w:tc>
          <w:tcPr>
            <w:tcW w:w="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6"/>
              </w:rPr>
              <w:t>Exhibit No.</w:t>
            </w:r>
          </w:p>
        </w:tc>
        <w:tc>
          <w:tcPr>
            <w:tcW w:w="180" w:type="dxa"/>
            <w:vAlign w:val="bottom"/>
          </w:tcPr>
          <w:p>
            <w:pPr>
              <w:spacing w:after="0"/>
              <w:rPr>
                <w:sz w:val="24"/>
                <w:szCs w:val="24"/>
                <w:color w:val="auto"/>
              </w:rPr>
            </w:pPr>
          </w:p>
        </w:tc>
        <w:tc>
          <w:tcPr>
            <w:tcW w:w="786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Description</w:t>
            </w:r>
          </w:p>
        </w:tc>
      </w:tr>
      <w:tr>
        <w:trPr>
          <w:trHeight w:val="277"/>
        </w:trPr>
        <w:tc>
          <w:tcPr>
            <w:tcW w:w="1040" w:type="dxa"/>
            <w:vAlign w:val="bottom"/>
            <w:gridSpan w:val="2"/>
          </w:tcPr>
          <w:p>
            <w:pPr>
              <w:spacing w:after="0"/>
              <w:rPr>
                <w:sz w:val="20"/>
                <w:szCs w:val="20"/>
                <w:color w:val="auto"/>
              </w:rPr>
            </w:pPr>
            <w:r>
              <w:rPr>
                <w:rFonts w:ascii="Arial" w:cs="Arial" w:eastAsia="Arial" w:hAnsi="Arial"/>
                <w:sz w:val="18"/>
                <w:szCs w:val="18"/>
                <w:color w:val="auto"/>
              </w:rPr>
              <w:t>31.1 †</w:t>
            </w:r>
          </w:p>
        </w:tc>
        <w:tc>
          <w:tcPr>
            <w:tcW w:w="7860" w:type="dxa"/>
            <w:vAlign w:val="bottom"/>
            <w:gridSpan w:val="4"/>
          </w:tcPr>
          <w:p>
            <w:pPr>
              <w:spacing w:after="0"/>
              <w:rPr>
                <w:sz w:val="20"/>
                <w:szCs w:val="20"/>
                <w:color w:val="auto"/>
              </w:rPr>
            </w:pPr>
            <w:r>
              <w:rPr>
                <w:rFonts w:ascii="Arial" w:cs="Arial" w:eastAsia="Arial" w:hAnsi="Arial"/>
                <w:sz w:val="18"/>
                <w:szCs w:val="18"/>
                <w:color w:val="0000EE"/>
              </w:rPr>
              <w:t>Certification of Principal Executive Officer Pursuant to SEC Rule 13a-14(a)/15d-14(a)</w:t>
            </w:r>
          </w:p>
        </w:tc>
      </w:tr>
      <w:tr>
        <w:trPr>
          <w:trHeight w:val="304"/>
        </w:trPr>
        <w:tc>
          <w:tcPr>
            <w:tcW w:w="1040" w:type="dxa"/>
            <w:vAlign w:val="bottom"/>
            <w:gridSpan w:val="2"/>
          </w:tcPr>
          <w:p>
            <w:pPr>
              <w:spacing w:after="0"/>
              <w:rPr>
                <w:sz w:val="20"/>
                <w:szCs w:val="20"/>
                <w:color w:val="auto"/>
              </w:rPr>
            </w:pPr>
            <w:r>
              <w:rPr>
                <w:rFonts w:ascii="Arial" w:cs="Arial" w:eastAsia="Arial" w:hAnsi="Arial"/>
                <w:sz w:val="18"/>
                <w:szCs w:val="18"/>
                <w:color w:val="auto"/>
              </w:rPr>
              <w:t>31.2 †</w:t>
            </w:r>
          </w:p>
        </w:tc>
        <w:tc>
          <w:tcPr>
            <w:tcW w:w="620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8"/>
                <w:szCs w:val="18"/>
                <w:color w:val="0000EE"/>
                <w:w w:val="92"/>
              </w:rPr>
              <w:t>Certification of Principal Financial Officer Pursuant to SEC Rule 13a-14(a)/15d-14(a)</w:t>
            </w:r>
          </w:p>
        </w:tc>
        <w:tc>
          <w:tcPr>
            <w:tcW w:w="40" w:type="dxa"/>
            <w:vAlign w:val="bottom"/>
            <w:tcBorders>
              <w:top w:val="single" w:sz="8" w:color="0000EE"/>
            </w:tcBorders>
          </w:tcPr>
          <w:p>
            <w:pPr>
              <w:spacing w:after="0"/>
              <w:rPr>
                <w:sz w:val="24"/>
                <w:szCs w:val="24"/>
                <w:color w:val="auto"/>
              </w:rPr>
            </w:pPr>
          </w:p>
        </w:tc>
        <w:tc>
          <w:tcPr>
            <w:tcW w:w="1620" w:type="dxa"/>
            <w:vAlign w:val="bottom"/>
            <w:gridSpan w:val="2"/>
          </w:tcPr>
          <w:p>
            <w:pPr>
              <w:spacing w:after="0"/>
              <w:rPr>
                <w:sz w:val="24"/>
                <w:szCs w:val="24"/>
                <w:color w:val="auto"/>
              </w:rPr>
            </w:pPr>
          </w:p>
        </w:tc>
      </w:tr>
      <w:tr>
        <w:trPr>
          <w:trHeight w:val="304"/>
        </w:trPr>
        <w:tc>
          <w:tcPr>
            <w:tcW w:w="1040" w:type="dxa"/>
            <w:vAlign w:val="bottom"/>
            <w:gridSpan w:val="2"/>
          </w:tcPr>
          <w:p>
            <w:pPr>
              <w:spacing w:after="0"/>
              <w:rPr>
                <w:sz w:val="20"/>
                <w:szCs w:val="20"/>
                <w:color w:val="auto"/>
              </w:rPr>
            </w:pPr>
            <w:r>
              <w:rPr>
                <w:rFonts w:ascii="Arial" w:cs="Arial" w:eastAsia="Arial" w:hAnsi="Arial"/>
                <w:sz w:val="18"/>
                <w:szCs w:val="18"/>
                <w:color w:val="auto"/>
              </w:rPr>
              <w:t>32.1 †</w:t>
            </w:r>
          </w:p>
        </w:tc>
        <w:tc>
          <w:tcPr>
            <w:tcW w:w="7860" w:type="dxa"/>
            <w:vAlign w:val="bottom"/>
            <w:gridSpan w:val="4"/>
          </w:tcPr>
          <w:p>
            <w:pPr>
              <w:spacing w:after="0"/>
              <w:rPr>
                <w:sz w:val="20"/>
                <w:szCs w:val="20"/>
                <w:color w:val="auto"/>
              </w:rPr>
            </w:pPr>
            <w:r>
              <w:rPr>
                <w:rFonts w:ascii="Arial" w:cs="Arial" w:eastAsia="Arial" w:hAnsi="Arial"/>
                <w:sz w:val="18"/>
                <w:szCs w:val="18"/>
                <w:color w:val="0000EE"/>
              </w:rPr>
              <w:t>Certification Pursuant to Section 1350 of Chapter 63 of Title 18 of the United States Code</w:t>
            </w:r>
          </w:p>
        </w:tc>
      </w:tr>
      <w:tr>
        <w:trPr>
          <w:trHeight w:val="20"/>
        </w:trPr>
        <w:tc>
          <w:tcPr>
            <w:tcW w:w="1040" w:type="dxa"/>
            <w:vAlign w:val="bottom"/>
            <w:gridSpan w:val="2"/>
          </w:tcPr>
          <w:p>
            <w:pPr>
              <w:spacing w:after="0" w:line="20" w:lineRule="exact"/>
              <w:rPr>
                <w:sz w:val="1"/>
                <w:szCs w:val="1"/>
                <w:color w:val="auto"/>
              </w:rPr>
            </w:pPr>
          </w:p>
        </w:tc>
        <w:tc>
          <w:tcPr>
            <w:tcW w:w="6480" w:type="dxa"/>
            <w:vAlign w:val="bottom"/>
            <w:gridSpan w:val="3"/>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304"/>
        </w:trPr>
        <w:tc>
          <w:tcPr>
            <w:tcW w:w="1040" w:type="dxa"/>
            <w:vAlign w:val="bottom"/>
            <w:gridSpan w:val="2"/>
          </w:tcPr>
          <w:p>
            <w:pPr>
              <w:spacing w:after="0"/>
              <w:rPr>
                <w:sz w:val="20"/>
                <w:szCs w:val="20"/>
                <w:color w:val="auto"/>
              </w:rPr>
            </w:pPr>
            <w:r>
              <w:rPr>
                <w:rFonts w:ascii="Arial" w:cs="Arial" w:eastAsia="Arial" w:hAnsi="Arial"/>
                <w:sz w:val="18"/>
                <w:szCs w:val="18"/>
                <w:color w:val="auto"/>
              </w:rPr>
              <w:t>32.2 †</w:t>
            </w:r>
          </w:p>
        </w:tc>
        <w:tc>
          <w:tcPr>
            <w:tcW w:w="7860" w:type="dxa"/>
            <w:vAlign w:val="bottom"/>
            <w:gridSpan w:val="4"/>
          </w:tcPr>
          <w:p>
            <w:pPr>
              <w:spacing w:after="0"/>
              <w:rPr>
                <w:sz w:val="20"/>
                <w:szCs w:val="20"/>
                <w:color w:val="auto"/>
              </w:rPr>
            </w:pPr>
            <w:r>
              <w:rPr>
                <w:rFonts w:ascii="Arial" w:cs="Arial" w:eastAsia="Arial" w:hAnsi="Arial"/>
                <w:sz w:val="18"/>
                <w:szCs w:val="18"/>
                <w:color w:val="0000EE"/>
              </w:rPr>
              <w:t>Certification Pursuant to Section 1350 of Chapter 63 of Title 18 of the United States Code</w:t>
            </w:r>
          </w:p>
        </w:tc>
      </w:tr>
      <w:tr>
        <w:trPr>
          <w:trHeight w:val="20"/>
        </w:trPr>
        <w:tc>
          <w:tcPr>
            <w:tcW w:w="1040" w:type="dxa"/>
            <w:vAlign w:val="bottom"/>
            <w:gridSpan w:val="2"/>
          </w:tcPr>
          <w:p>
            <w:pPr>
              <w:spacing w:after="0" w:line="20" w:lineRule="exact"/>
              <w:rPr>
                <w:sz w:val="1"/>
                <w:szCs w:val="1"/>
                <w:color w:val="auto"/>
              </w:rPr>
            </w:pPr>
          </w:p>
        </w:tc>
        <w:tc>
          <w:tcPr>
            <w:tcW w:w="6480" w:type="dxa"/>
            <w:vAlign w:val="bottom"/>
            <w:gridSpan w:val="3"/>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330"/>
        </w:trPr>
        <w:tc>
          <w:tcPr>
            <w:tcW w:w="1040" w:type="dxa"/>
            <w:vAlign w:val="bottom"/>
            <w:gridSpan w:val="2"/>
          </w:tcPr>
          <w:p>
            <w:pPr>
              <w:spacing w:after="0"/>
              <w:rPr>
                <w:sz w:val="20"/>
                <w:szCs w:val="20"/>
                <w:color w:val="auto"/>
              </w:rPr>
            </w:pPr>
            <w:r>
              <w:rPr>
                <w:rFonts w:ascii="Arial" w:cs="Arial" w:eastAsia="Arial" w:hAnsi="Arial"/>
                <w:sz w:val="18"/>
                <w:szCs w:val="18"/>
                <w:color w:val="auto"/>
              </w:rPr>
              <w:t>101.INS</w:t>
            </w:r>
          </w:p>
        </w:tc>
        <w:tc>
          <w:tcPr>
            <w:tcW w:w="7860" w:type="dxa"/>
            <w:vAlign w:val="bottom"/>
            <w:gridSpan w:val="4"/>
          </w:tcPr>
          <w:p>
            <w:pPr>
              <w:spacing w:after="0"/>
              <w:rPr>
                <w:sz w:val="20"/>
                <w:szCs w:val="20"/>
                <w:color w:val="auto"/>
              </w:rPr>
            </w:pPr>
            <w:r>
              <w:rPr>
                <w:rFonts w:ascii="Arial" w:cs="Arial" w:eastAsia="Arial" w:hAnsi="Arial"/>
                <w:sz w:val="18"/>
                <w:szCs w:val="18"/>
                <w:color w:val="auto"/>
                <w:w w:val="98"/>
              </w:rPr>
              <w:t>Inline XBRL Instance Document (the instance document does not appear in the Interactive Data File</w:t>
            </w:r>
          </w:p>
        </w:tc>
      </w:tr>
      <w:tr>
        <w:trPr>
          <w:trHeight w:val="230"/>
        </w:trPr>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60" w:type="dxa"/>
            <w:vAlign w:val="bottom"/>
            <w:gridSpan w:val="4"/>
          </w:tcPr>
          <w:p>
            <w:pPr>
              <w:spacing w:after="0"/>
              <w:rPr>
                <w:sz w:val="20"/>
                <w:szCs w:val="20"/>
                <w:color w:val="auto"/>
              </w:rPr>
            </w:pPr>
            <w:r>
              <w:rPr>
                <w:rFonts w:ascii="Arial" w:cs="Arial" w:eastAsia="Arial" w:hAnsi="Arial"/>
                <w:sz w:val="18"/>
                <w:szCs w:val="18"/>
                <w:color w:val="auto"/>
              </w:rPr>
              <w:t>because its XBRL tags are embedded within the Inline XBRL document)</w:t>
            </w:r>
          </w:p>
        </w:tc>
      </w:tr>
      <w:tr>
        <w:trPr>
          <w:trHeight w:val="324"/>
        </w:trPr>
        <w:tc>
          <w:tcPr>
            <w:tcW w:w="10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7860" w:type="dxa"/>
            <w:vAlign w:val="bottom"/>
            <w:gridSpan w:val="4"/>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24"/>
        </w:trPr>
        <w:tc>
          <w:tcPr>
            <w:tcW w:w="10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7860" w:type="dxa"/>
            <w:vAlign w:val="bottom"/>
            <w:gridSpan w:val="4"/>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24"/>
        </w:trPr>
        <w:tc>
          <w:tcPr>
            <w:tcW w:w="10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7860" w:type="dxa"/>
            <w:vAlign w:val="bottom"/>
            <w:gridSpan w:val="4"/>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24"/>
        </w:trPr>
        <w:tc>
          <w:tcPr>
            <w:tcW w:w="10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7860" w:type="dxa"/>
            <w:vAlign w:val="bottom"/>
            <w:gridSpan w:val="4"/>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24"/>
        </w:trPr>
        <w:tc>
          <w:tcPr>
            <w:tcW w:w="10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7860" w:type="dxa"/>
            <w:vAlign w:val="bottom"/>
            <w:gridSpan w:val="4"/>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94" w:lineRule="exact"/>
        <w:rPr>
          <w:sz w:val="20"/>
          <w:szCs w:val="20"/>
          <w:color w:val="auto"/>
        </w:rPr>
      </w:pPr>
    </w:p>
    <w:p>
      <w:pPr>
        <w:ind w:left="1100" w:hanging="1044"/>
        <w:spacing w:after="0"/>
        <w:tabs>
          <w:tab w:leader="none" w:pos="1100" w:val="left"/>
        </w:tabs>
        <w:numPr>
          <w:ilvl w:val="1"/>
          <w:numId w:val="7"/>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jc w:val="both"/>
        <w:ind w:left="380" w:right="79" w:hanging="330"/>
        <w:spacing w:after="0" w:line="279" w:lineRule="auto"/>
        <w:tabs>
          <w:tab w:leader="none" w:pos="3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This certification will not be deemed “filed” for purposes of Section 18 of the Securities Exchange Act of 1934, as amended (the “Exchange Act”), or otherwise subject to the liability of that section. Such certification will not be deemed to be incorporated by reference into any filing under the Securities Act of 1933, as amended, or the Exchange Act, except to the extent specifically incorporated by reference into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-636270</wp:posOffset>
            </wp:positionV>
            <wp:extent cx="141414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51" w:lineRule="exact"/>
        <w:rPr>
          <w:sz w:val="20"/>
          <w:szCs w:val="20"/>
          <w:color w:val="auto"/>
        </w:rPr>
      </w:pPr>
    </w:p>
    <w:p>
      <w:pPr>
        <w:ind w:left="380" w:hanging="330"/>
        <w:spacing w:after="0"/>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Certain portions of this exhibit have been omitted pursuant to a request for confidential treatment.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3" w:lineRule="exact"/>
        <w:rPr>
          <w:rFonts w:ascii="Arial" w:cs="Arial" w:eastAsia="Arial" w:hAnsi="Arial"/>
          <w:sz w:val="18"/>
          <w:szCs w:val="18"/>
          <w:color w:val="auto"/>
        </w:rPr>
      </w:pPr>
    </w:p>
    <w:p>
      <w:pPr>
        <w:ind w:left="4420"/>
        <w:spacing w:after="0"/>
        <w:rPr>
          <w:rFonts w:ascii="Arial" w:cs="Arial" w:eastAsia="Arial" w:hAnsi="Arial"/>
          <w:sz w:val="18"/>
          <w:szCs w:val="18"/>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the report to be signed on its behalf by the undersigned, thereunto duly authorized.</w:t>
      </w:r>
    </w:p>
    <w:p>
      <w:pPr>
        <w:spacing w:after="0" w:line="184"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3240" w:type="dxa"/>
            <w:vAlign w:val="bottom"/>
          </w:tcPr>
          <w:p>
            <w:pPr>
              <w:spacing w:after="0"/>
              <w:rPr>
                <w:sz w:val="20"/>
                <w:szCs w:val="20"/>
                <w:color w:val="auto"/>
              </w:rPr>
            </w:pPr>
          </w:p>
        </w:tc>
        <w:tc>
          <w:tcPr>
            <w:tcW w:w="5660" w:type="dxa"/>
            <w:vAlign w:val="bottom"/>
            <w:gridSpan w:val="2"/>
          </w:tcPr>
          <w:p>
            <w:pPr>
              <w:ind w:left="1280"/>
              <w:spacing w:after="0"/>
              <w:rPr>
                <w:sz w:val="20"/>
                <w:szCs w:val="20"/>
                <w:color w:val="auto"/>
              </w:rPr>
            </w:pPr>
            <w:r>
              <w:rPr>
                <w:rFonts w:ascii="Arial" w:cs="Arial" w:eastAsia="Arial" w:hAnsi="Arial"/>
                <w:sz w:val="18"/>
                <w:szCs w:val="18"/>
                <w:color w:val="auto"/>
              </w:rPr>
              <w:t>ALTIMMUNE, INC.</w:t>
            </w:r>
          </w:p>
        </w:tc>
      </w:tr>
      <w:tr>
        <w:trPr>
          <w:trHeight w:val="432"/>
        </w:trPr>
        <w:tc>
          <w:tcPr>
            <w:tcW w:w="3240" w:type="dxa"/>
            <w:vAlign w:val="bottom"/>
          </w:tcPr>
          <w:p>
            <w:pPr>
              <w:spacing w:after="0"/>
              <w:rPr>
                <w:sz w:val="20"/>
                <w:szCs w:val="20"/>
                <w:color w:val="auto"/>
              </w:rPr>
            </w:pPr>
            <w:r>
              <w:rPr>
                <w:rFonts w:ascii="Arial" w:cs="Arial" w:eastAsia="Arial" w:hAnsi="Arial"/>
                <w:sz w:val="18"/>
                <w:szCs w:val="18"/>
                <w:color w:val="auto"/>
              </w:rPr>
              <w:t>Dated: November 10, 2022</w:t>
            </w:r>
          </w:p>
        </w:tc>
        <w:tc>
          <w:tcPr>
            <w:tcW w:w="1960" w:type="dxa"/>
            <w:vAlign w:val="bottom"/>
          </w:tcPr>
          <w:p>
            <w:pPr>
              <w:ind w:left="1280"/>
              <w:spacing w:after="0"/>
              <w:rPr>
                <w:sz w:val="20"/>
                <w:szCs w:val="20"/>
                <w:color w:val="auto"/>
              </w:rPr>
            </w:pPr>
            <w:r>
              <w:rPr>
                <w:rFonts w:ascii="Arial" w:cs="Arial" w:eastAsia="Arial" w:hAnsi="Arial"/>
                <w:sz w:val="18"/>
                <w:szCs w:val="18"/>
                <w:color w:val="auto"/>
              </w:rPr>
              <w:t>By:</w:t>
            </w:r>
          </w:p>
        </w:tc>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Vipin K. Garg</w:t>
            </w:r>
          </w:p>
        </w:tc>
      </w:tr>
      <w:tr>
        <w:trPr>
          <w:trHeight w:val="195"/>
        </w:trPr>
        <w:tc>
          <w:tcPr>
            <w:tcW w:w="3240" w:type="dxa"/>
            <w:vAlign w:val="bottom"/>
          </w:tcPr>
          <w:p>
            <w:pPr>
              <w:spacing w:after="0"/>
              <w:rPr>
                <w:sz w:val="16"/>
                <w:szCs w:val="16"/>
                <w:color w:val="auto"/>
              </w:rPr>
            </w:pPr>
          </w:p>
        </w:tc>
        <w:tc>
          <w:tcPr>
            <w:tcW w:w="1960" w:type="dxa"/>
            <w:vAlign w:val="bottom"/>
          </w:tcPr>
          <w:p>
            <w:pPr>
              <w:ind w:left="1280"/>
              <w:spacing w:after="0" w:line="195" w:lineRule="exact"/>
              <w:rPr>
                <w:sz w:val="20"/>
                <w:szCs w:val="20"/>
                <w:color w:val="auto"/>
              </w:rPr>
            </w:pPr>
            <w:r>
              <w:rPr>
                <w:rFonts w:ascii="Arial" w:cs="Arial" w:eastAsia="Arial" w:hAnsi="Arial"/>
                <w:sz w:val="18"/>
                <w:szCs w:val="18"/>
                <w:color w:val="auto"/>
              </w:rPr>
              <w:t>Name:</w:t>
            </w:r>
          </w:p>
        </w:tc>
        <w:tc>
          <w:tcPr>
            <w:tcW w:w="3700" w:type="dxa"/>
            <w:vAlign w:val="bottom"/>
          </w:tcPr>
          <w:p>
            <w:pPr>
              <w:spacing w:after="0" w:line="195" w:lineRule="exact"/>
              <w:rPr>
                <w:sz w:val="20"/>
                <w:szCs w:val="20"/>
                <w:color w:val="auto"/>
              </w:rPr>
            </w:pPr>
            <w:r>
              <w:rPr>
                <w:rFonts w:ascii="Arial" w:cs="Arial" w:eastAsia="Arial" w:hAnsi="Arial"/>
                <w:sz w:val="18"/>
                <w:szCs w:val="18"/>
                <w:color w:val="auto"/>
              </w:rPr>
              <w:t>Vipin K. Garg</w:t>
            </w:r>
          </w:p>
        </w:tc>
      </w:tr>
      <w:tr>
        <w:trPr>
          <w:trHeight w:val="216"/>
        </w:trPr>
        <w:tc>
          <w:tcPr>
            <w:tcW w:w="3240" w:type="dxa"/>
            <w:vAlign w:val="bottom"/>
          </w:tcPr>
          <w:p>
            <w:pPr>
              <w:spacing w:after="0"/>
              <w:rPr>
                <w:sz w:val="18"/>
                <w:szCs w:val="18"/>
                <w:color w:val="auto"/>
              </w:rPr>
            </w:pPr>
          </w:p>
        </w:tc>
        <w:tc>
          <w:tcPr>
            <w:tcW w:w="1960" w:type="dxa"/>
            <w:vAlign w:val="bottom"/>
          </w:tcPr>
          <w:p>
            <w:pPr>
              <w:ind w:left="1280"/>
              <w:spacing w:after="0"/>
              <w:rPr>
                <w:sz w:val="20"/>
                <w:szCs w:val="20"/>
                <w:color w:val="auto"/>
              </w:rPr>
            </w:pPr>
            <w:r>
              <w:rPr>
                <w:rFonts w:ascii="Arial" w:cs="Arial" w:eastAsia="Arial" w:hAnsi="Arial"/>
                <w:sz w:val="18"/>
                <w:szCs w:val="18"/>
                <w:color w:val="auto"/>
              </w:rPr>
              <w:t>Title:</w:t>
            </w:r>
          </w:p>
        </w:tc>
        <w:tc>
          <w:tcPr>
            <w:tcW w:w="3700" w:type="dxa"/>
            <w:vAlign w:val="bottom"/>
          </w:tcPr>
          <w:p>
            <w:pPr>
              <w:spacing w:after="0"/>
              <w:rPr>
                <w:sz w:val="20"/>
                <w:szCs w:val="20"/>
                <w:color w:val="auto"/>
              </w:rPr>
            </w:pPr>
            <w:r>
              <w:rPr>
                <w:rFonts w:ascii="Arial" w:cs="Arial" w:eastAsia="Arial" w:hAnsi="Arial"/>
                <w:sz w:val="18"/>
                <w:szCs w:val="18"/>
                <w:color w:val="auto"/>
                <w:w w:val="97"/>
              </w:rPr>
              <w:t>President and Chief Executive Officer (Principal</w:t>
            </w:r>
          </w:p>
        </w:tc>
      </w:tr>
      <w:tr>
        <w:trPr>
          <w:trHeight w:val="230"/>
        </w:trPr>
        <w:tc>
          <w:tcPr>
            <w:tcW w:w="32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Executive Officer)</w:t>
            </w:r>
          </w:p>
        </w:tc>
      </w:tr>
      <w:tr>
        <w:trPr>
          <w:trHeight w:val="432"/>
        </w:trPr>
        <w:tc>
          <w:tcPr>
            <w:tcW w:w="3240" w:type="dxa"/>
            <w:vAlign w:val="bottom"/>
          </w:tcPr>
          <w:p>
            <w:pPr>
              <w:spacing w:after="0"/>
              <w:rPr>
                <w:sz w:val="20"/>
                <w:szCs w:val="20"/>
                <w:color w:val="auto"/>
              </w:rPr>
            </w:pPr>
            <w:r>
              <w:rPr>
                <w:rFonts w:ascii="Arial" w:cs="Arial" w:eastAsia="Arial" w:hAnsi="Arial"/>
                <w:sz w:val="18"/>
                <w:szCs w:val="18"/>
                <w:color w:val="auto"/>
              </w:rPr>
              <w:t>Dated: November 10, 2022</w:t>
            </w:r>
          </w:p>
        </w:tc>
        <w:tc>
          <w:tcPr>
            <w:tcW w:w="1960" w:type="dxa"/>
            <w:vAlign w:val="bottom"/>
          </w:tcPr>
          <w:p>
            <w:pPr>
              <w:ind w:left="1280"/>
              <w:spacing w:after="0"/>
              <w:rPr>
                <w:sz w:val="20"/>
                <w:szCs w:val="20"/>
                <w:color w:val="auto"/>
              </w:rPr>
            </w:pPr>
            <w:r>
              <w:rPr>
                <w:rFonts w:ascii="Arial" w:cs="Arial" w:eastAsia="Arial" w:hAnsi="Arial"/>
                <w:sz w:val="18"/>
                <w:szCs w:val="18"/>
                <w:color w:val="auto"/>
              </w:rPr>
              <w:t>By:</w:t>
            </w:r>
          </w:p>
        </w:tc>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Eisenstadt</w:t>
            </w:r>
          </w:p>
        </w:tc>
      </w:tr>
      <w:tr>
        <w:trPr>
          <w:trHeight w:val="195"/>
        </w:trPr>
        <w:tc>
          <w:tcPr>
            <w:tcW w:w="3240" w:type="dxa"/>
            <w:vAlign w:val="bottom"/>
          </w:tcPr>
          <w:p>
            <w:pPr>
              <w:spacing w:after="0"/>
              <w:rPr>
                <w:sz w:val="16"/>
                <w:szCs w:val="16"/>
                <w:color w:val="auto"/>
              </w:rPr>
            </w:pPr>
          </w:p>
        </w:tc>
        <w:tc>
          <w:tcPr>
            <w:tcW w:w="1960" w:type="dxa"/>
            <w:vAlign w:val="bottom"/>
          </w:tcPr>
          <w:p>
            <w:pPr>
              <w:ind w:left="1280"/>
              <w:spacing w:after="0" w:line="195" w:lineRule="exact"/>
              <w:rPr>
                <w:sz w:val="20"/>
                <w:szCs w:val="20"/>
                <w:color w:val="auto"/>
              </w:rPr>
            </w:pPr>
            <w:r>
              <w:rPr>
                <w:rFonts w:ascii="Arial" w:cs="Arial" w:eastAsia="Arial" w:hAnsi="Arial"/>
                <w:sz w:val="18"/>
                <w:szCs w:val="18"/>
                <w:color w:val="auto"/>
              </w:rPr>
              <w:t>Name:</w:t>
            </w:r>
          </w:p>
        </w:tc>
        <w:tc>
          <w:tcPr>
            <w:tcW w:w="3700" w:type="dxa"/>
            <w:vAlign w:val="bottom"/>
          </w:tcPr>
          <w:p>
            <w:pPr>
              <w:spacing w:after="0" w:line="195" w:lineRule="exact"/>
              <w:rPr>
                <w:sz w:val="20"/>
                <w:szCs w:val="20"/>
                <w:color w:val="auto"/>
              </w:rPr>
            </w:pPr>
            <w:r>
              <w:rPr>
                <w:rFonts w:ascii="Arial" w:cs="Arial" w:eastAsia="Arial" w:hAnsi="Arial"/>
                <w:sz w:val="18"/>
                <w:szCs w:val="18"/>
                <w:color w:val="auto"/>
              </w:rPr>
              <w:t>Richard Eisenstadt</w:t>
            </w:r>
          </w:p>
        </w:tc>
      </w:tr>
      <w:tr>
        <w:trPr>
          <w:trHeight w:val="216"/>
        </w:trPr>
        <w:tc>
          <w:tcPr>
            <w:tcW w:w="3240" w:type="dxa"/>
            <w:vAlign w:val="bottom"/>
          </w:tcPr>
          <w:p>
            <w:pPr>
              <w:spacing w:after="0"/>
              <w:rPr>
                <w:sz w:val="18"/>
                <w:szCs w:val="18"/>
                <w:color w:val="auto"/>
              </w:rPr>
            </w:pPr>
          </w:p>
        </w:tc>
        <w:tc>
          <w:tcPr>
            <w:tcW w:w="1960" w:type="dxa"/>
            <w:vAlign w:val="bottom"/>
          </w:tcPr>
          <w:p>
            <w:pPr>
              <w:ind w:left="1280"/>
              <w:spacing w:after="0"/>
              <w:rPr>
                <w:sz w:val="20"/>
                <w:szCs w:val="20"/>
                <w:color w:val="auto"/>
              </w:rPr>
            </w:pPr>
            <w:r>
              <w:rPr>
                <w:rFonts w:ascii="Arial" w:cs="Arial" w:eastAsia="Arial" w:hAnsi="Arial"/>
                <w:sz w:val="18"/>
                <w:szCs w:val="18"/>
                <w:color w:val="auto"/>
              </w:rPr>
              <w:t>Title:</w:t>
            </w:r>
          </w:p>
        </w:tc>
        <w:tc>
          <w:tcPr>
            <w:tcW w:w="3700" w:type="dxa"/>
            <w:vAlign w:val="bottom"/>
          </w:tcPr>
          <w:p>
            <w:pPr>
              <w:spacing w:after="0"/>
              <w:rPr>
                <w:sz w:val="20"/>
                <w:szCs w:val="20"/>
                <w:color w:val="auto"/>
              </w:rPr>
            </w:pPr>
            <w:r>
              <w:rPr>
                <w:rFonts w:ascii="Arial" w:cs="Arial" w:eastAsia="Arial" w:hAnsi="Arial"/>
                <w:sz w:val="18"/>
                <w:szCs w:val="18"/>
                <w:color w:val="auto"/>
                <w:w w:val="99"/>
              </w:rPr>
              <w:t>Chief Financial Officer (Principal Financial and</w:t>
            </w:r>
          </w:p>
        </w:tc>
      </w:tr>
      <w:tr>
        <w:trPr>
          <w:trHeight w:val="230"/>
        </w:trPr>
        <w:tc>
          <w:tcPr>
            <w:tcW w:w="32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Pursuant to SEC Rule 13a-14(a)/15d-14(a)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Vipin K. Garg, certify that:</w:t>
      </w:r>
    </w:p>
    <w:p>
      <w:pPr>
        <w:spacing w:after="0" w:line="225" w:lineRule="exact"/>
        <w:rPr>
          <w:sz w:val="20"/>
          <w:szCs w:val="20"/>
          <w:color w:val="auto"/>
        </w:rPr>
      </w:pPr>
    </w:p>
    <w:p>
      <w:pPr>
        <w:ind w:left="440" w:hanging="432"/>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report on Form 10-Q of Altimmune, Inc. for the period ended September 30, 2022;</w:t>
      </w:r>
    </w:p>
    <w:p>
      <w:pPr>
        <w:spacing w:after="0" w:line="225" w:lineRule="exact"/>
        <w:rPr>
          <w:rFonts w:ascii="Arial" w:cs="Arial" w:eastAsia="Arial" w:hAnsi="Arial"/>
          <w:sz w:val="18"/>
          <w:szCs w:val="18"/>
          <w:color w:val="auto"/>
        </w:rPr>
      </w:pPr>
    </w:p>
    <w:p>
      <w:pPr>
        <w:ind w:left="440" w:right="60" w:hanging="432"/>
        <w:spacing w:after="0" w:line="263" w:lineRule="auto"/>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440" w:right="140" w:hanging="432"/>
        <w:spacing w:after="0" w:line="263" w:lineRule="auto"/>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440" w:right="40" w:hanging="432"/>
        <w:spacing w:after="0" w:line="263" w:lineRule="auto"/>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880" w:right="100" w:hanging="440"/>
        <w:spacing w:after="0" w:line="311" w:lineRule="auto"/>
        <w:tabs>
          <w:tab w:leader="none" w:pos="880" w:val="left"/>
        </w:tabs>
        <w:numPr>
          <w:ilvl w:val="1"/>
          <w:numId w:val="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ind w:left="880" w:right="520" w:hanging="440"/>
        <w:spacing w:after="0" w:line="311" w:lineRule="auto"/>
        <w:tabs>
          <w:tab w:leader="none" w:pos="880" w:val="left"/>
        </w:tabs>
        <w:numPr>
          <w:ilvl w:val="1"/>
          <w:numId w:val="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6"/>
          <w:szCs w:val="16"/>
          <w:color w:val="auto"/>
        </w:rPr>
      </w:pPr>
    </w:p>
    <w:p>
      <w:pPr>
        <w:ind w:left="880" w:right="60" w:hanging="440"/>
        <w:spacing w:after="0" w:line="263" w:lineRule="auto"/>
        <w:tabs>
          <w:tab w:leader="none" w:pos="880" w:val="left"/>
        </w:tabs>
        <w:numPr>
          <w:ilvl w:val="1"/>
          <w:numId w:val="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880" w:right="80" w:hanging="440"/>
        <w:spacing w:after="0" w:line="311" w:lineRule="auto"/>
        <w:tabs>
          <w:tab w:leader="none" w:pos="880" w:val="left"/>
        </w:tabs>
        <w:numPr>
          <w:ilvl w:val="1"/>
          <w:numId w:val="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Arial" w:cs="Arial" w:eastAsia="Arial" w:hAnsi="Arial"/>
          <w:sz w:val="16"/>
          <w:szCs w:val="16"/>
          <w:color w:val="auto"/>
        </w:rPr>
      </w:pPr>
    </w:p>
    <w:p>
      <w:pPr>
        <w:ind w:left="440" w:right="80" w:hanging="432"/>
        <w:spacing w:after="0" w:line="263" w:lineRule="auto"/>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880" w:right="320" w:hanging="440"/>
        <w:spacing w:after="0" w:line="263" w:lineRule="auto"/>
        <w:tabs>
          <w:tab w:leader="none" w:pos="880"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880" w:right="700" w:hanging="440"/>
        <w:spacing w:after="0" w:line="277" w:lineRule="auto"/>
        <w:tabs>
          <w:tab w:leader="none" w:pos="88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Dated: November 10, 2022</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Vipin K. Garg</w:t>
            </w:r>
          </w:p>
        </w:tc>
      </w:tr>
      <w:tr>
        <w:trPr>
          <w:trHeight w:val="195"/>
        </w:trPr>
        <w:tc>
          <w:tcPr>
            <w:tcW w:w="4960" w:type="dxa"/>
            <w:vAlign w:val="bottom"/>
          </w:tcPr>
          <w:p>
            <w:pPr>
              <w:spacing w:after="0"/>
              <w:rPr>
                <w:sz w:val="16"/>
                <w:szCs w:val="16"/>
                <w:color w:val="auto"/>
              </w:rPr>
            </w:pP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Name: Vipin K. Garg</w:t>
            </w:r>
          </w:p>
        </w:tc>
      </w:tr>
      <w:tr>
        <w:trPr>
          <w:trHeight w:val="216"/>
        </w:trPr>
        <w:tc>
          <w:tcPr>
            <w:tcW w:w="496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Title: President and Chief Executive Officer</w:t>
            </w:r>
          </w:p>
        </w:tc>
      </w:tr>
      <w:tr>
        <w:trPr>
          <w:trHeight w:val="230"/>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776"/>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Pursuant to SEC Rule 13a-14(a)/15d-14(a)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Richard Eisenstadt, certify that:</w:t>
      </w:r>
    </w:p>
    <w:p>
      <w:pPr>
        <w:spacing w:after="0" w:line="225" w:lineRule="exact"/>
        <w:rPr>
          <w:sz w:val="20"/>
          <w:szCs w:val="20"/>
          <w:color w:val="auto"/>
        </w:rPr>
      </w:pPr>
    </w:p>
    <w:p>
      <w:pPr>
        <w:ind w:left="440" w:hanging="432"/>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report on Form 10-Q of Altimmune, Inc. for the period ended September 30, 2022;</w:t>
      </w:r>
    </w:p>
    <w:p>
      <w:pPr>
        <w:spacing w:after="0" w:line="225" w:lineRule="exact"/>
        <w:rPr>
          <w:rFonts w:ascii="Arial" w:cs="Arial" w:eastAsia="Arial" w:hAnsi="Arial"/>
          <w:sz w:val="18"/>
          <w:szCs w:val="18"/>
          <w:color w:val="auto"/>
        </w:rPr>
      </w:pPr>
    </w:p>
    <w:p>
      <w:pPr>
        <w:ind w:left="440" w:right="60" w:hanging="432"/>
        <w:spacing w:after="0" w:line="263" w:lineRule="auto"/>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440" w:right="140" w:hanging="432"/>
        <w:spacing w:after="0" w:line="263" w:lineRule="auto"/>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440" w:right="40" w:hanging="432"/>
        <w:spacing w:after="0" w:line="263" w:lineRule="auto"/>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880" w:right="100" w:hanging="440"/>
        <w:spacing w:after="0" w:line="311" w:lineRule="auto"/>
        <w:tabs>
          <w:tab w:leader="none" w:pos="880" w:val="left"/>
        </w:tabs>
        <w:numPr>
          <w:ilvl w:val="1"/>
          <w:numId w:val="1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ind w:left="880" w:right="520" w:hanging="440"/>
        <w:spacing w:after="0" w:line="311" w:lineRule="auto"/>
        <w:tabs>
          <w:tab w:leader="none" w:pos="880" w:val="left"/>
        </w:tabs>
        <w:numPr>
          <w:ilvl w:val="1"/>
          <w:numId w:val="1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6"/>
          <w:szCs w:val="16"/>
          <w:color w:val="auto"/>
        </w:rPr>
      </w:pPr>
    </w:p>
    <w:p>
      <w:pPr>
        <w:ind w:left="880" w:right="60" w:hanging="440"/>
        <w:spacing w:after="0" w:line="263" w:lineRule="auto"/>
        <w:tabs>
          <w:tab w:leader="none" w:pos="8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880" w:right="80" w:hanging="440"/>
        <w:spacing w:after="0" w:line="311" w:lineRule="auto"/>
        <w:tabs>
          <w:tab w:leader="none" w:pos="880" w:val="left"/>
        </w:tabs>
        <w:numPr>
          <w:ilvl w:val="1"/>
          <w:numId w:val="1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Arial" w:cs="Arial" w:eastAsia="Arial" w:hAnsi="Arial"/>
          <w:sz w:val="16"/>
          <w:szCs w:val="16"/>
          <w:color w:val="auto"/>
        </w:rPr>
      </w:pPr>
    </w:p>
    <w:p>
      <w:pPr>
        <w:ind w:left="440" w:right="80" w:hanging="432"/>
        <w:spacing w:after="0" w:line="263" w:lineRule="auto"/>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880" w:right="320" w:hanging="440"/>
        <w:spacing w:after="0" w:line="263" w:lineRule="auto"/>
        <w:tabs>
          <w:tab w:leader="none" w:pos="8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880" w:right="700" w:hanging="440"/>
        <w:spacing w:after="0" w:line="277" w:lineRule="auto"/>
        <w:tabs>
          <w:tab w:leader="none" w:pos="8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Dated: November 10, 2022</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Eisenstadt</w:t>
            </w:r>
          </w:p>
        </w:tc>
      </w:tr>
      <w:tr>
        <w:trPr>
          <w:trHeight w:val="195"/>
        </w:trPr>
        <w:tc>
          <w:tcPr>
            <w:tcW w:w="4960" w:type="dxa"/>
            <w:vAlign w:val="bottom"/>
          </w:tcPr>
          <w:p>
            <w:pPr>
              <w:spacing w:after="0"/>
              <w:rPr>
                <w:sz w:val="16"/>
                <w:szCs w:val="16"/>
                <w:color w:val="auto"/>
              </w:rPr>
            </w:pP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Name: Richard Eisenstadt</w:t>
            </w:r>
          </w:p>
        </w:tc>
      </w:tr>
      <w:tr>
        <w:trPr>
          <w:trHeight w:val="216"/>
        </w:trPr>
        <w:tc>
          <w:tcPr>
            <w:tcW w:w="496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Title: Chief Financial Officer</w:t>
            </w:r>
          </w:p>
        </w:tc>
      </w:tr>
      <w:tr>
        <w:trPr>
          <w:trHeight w:val="230"/>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776"/>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1350 of Chapter 63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Title 18 of the United States Code</w:t>
      </w:r>
    </w:p>
    <w:p>
      <w:pPr>
        <w:spacing w:after="0" w:line="211"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In connection with the quarterly report on Form 10-Q of Altimmune, Inc. (the “Company”) for the period ended September 30, 2022, as filed with the Securities and Exchange Commission (the “Report”), I, Vipin K. Garg, President and Chief Executive Officer of the Company, certify, pursuant to 18 U.S.C. Section 1350, as adopted pursuant to Section 906 of the Sarbanes-Oxley Act of 2002, that to the best of my knowledge:</w:t>
      </w:r>
    </w:p>
    <w:p>
      <w:pPr>
        <w:spacing w:after="0" w:line="187" w:lineRule="exact"/>
        <w:rPr>
          <w:sz w:val="20"/>
          <w:szCs w:val="20"/>
          <w:color w:val="auto"/>
        </w:rPr>
      </w:pPr>
    </w:p>
    <w:p>
      <w:pPr>
        <w:ind w:left="440" w:hanging="432"/>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w:t>
      </w:r>
    </w:p>
    <w:p>
      <w:pPr>
        <w:spacing w:after="0" w:line="225" w:lineRule="exact"/>
        <w:rPr>
          <w:rFonts w:ascii="Arial" w:cs="Arial" w:eastAsia="Arial" w:hAnsi="Arial"/>
          <w:sz w:val="18"/>
          <w:szCs w:val="18"/>
          <w:color w:val="auto"/>
        </w:rPr>
      </w:pPr>
    </w:p>
    <w:p>
      <w:pPr>
        <w:ind w:left="440" w:right="80" w:hanging="432"/>
        <w:spacing w:after="0" w:line="277" w:lineRule="auto"/>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Vipin K. Garg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4579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Vipin K. Garg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10, 2022</w:t>
      </w:r>
    </w:p>
    <w:p>
      <w:pPr>
        <w:spacing w:after="0" w:line="211" w:lineRule="exact"/>
        <w:rPr>
          <w:sz w:val="20"/>
          <w:szCs w:val="20"/>
          <w:color w:val="auto"/>
        </w:rPr>
      </w:pPr>
    </w:p>
    <w:p>
      <w:pPr>
        <w:ind w:right="300" w:firstLine="441"/>
        <w:spacing w:after="0" w:line="342" w:lineRule="auto"/>
        <w:rPr>
          <w:sz w:val="20"/>
          <w:szCs w:val="20"/>
          <w:color w:val="auto"/>
        </w:rPr>
      </w:pPr>
      <w:r>
        <w:rPr>
          <w:rFonts w:ascii="Arial" w:cs="Arial" w:eastAsia="Arial" w:hAnsi="Arial"/>
          <w:sz w:val="16"/>
          <w:szCs w:val="16"/>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124" w:lineRule="exact"/>
        <w:rPr>
          <w:sz w:val="20"/>
          <w:szCs w:val="20"/>
          <w:color w:val="auto"/>
        </w:rPr>
      </w:pPr>
    </w:p>
    <w:p>
      <w:pPr>
        <w:jc w:val="both"/>
        <w:ind w:right="20" w:firstLine="441"/>
        <w:spacing w:after="0" w:line="311" w:lineRule="auto"/>
        <w:rPr>
          <w:sz w:val="20"/>
          <w:szCs w:val="20"/>
          <w:color w:val="auto"/>
        </w:rPr>
      </w:pPr>
      <w:r>
        <w:rPr>
          <w:rFonts w:ascii="Arial" w:cs="Arial" w:eastAsia="Arial" w:hAnsi="Arial"/>
          <w:sz w:val="16"/>
          <w:szCs w:val="16"/>
          <w:color w:val="auto"/>
        </w:rPr>
        <w:t>This certification is being furnished pursuant to Section 906 of the Sarbanes-Oxley Act of 2002 and shall not be deemed “filed” for purposes of Section 18 of the Securities Exchange Act of 1934, or otherwise subject to the liability of that section. This certification will not be deemed to be incorporated by reference into any filing under the Securities Act of 1933 or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309245</wp:posOffset>
            </wp:positionV>
            <wp:extent cx="629221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1350 of Chapter 63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Title 18 of the United States Code</w:t>
      </w:r>
    </w:p>
    <w:p>
      <w:pPr>
        <w:spacing w:after="0" w:line="211"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In connection with the quarterly report on Form 10-Q of Altimmune, Inc. (the “Company”) for the period ended September 30, 2022, as filed with the Securities and Exchange Commission (the “Report”), I, Richard Eisenstadt, Chief Financial Officer of the Company, certify, pursuant to 18 U.S.C. Section 1350, as adopted pursuant to Section 906 of the Sarbanes-Oxley Act of 2002, that to the best of my knowledge:</w:t>
      </w:r>
    </w:p>
    <w:p>
      <w:pPr>
        <w:spacing w:after="0" w:line="187" w:lineRule="exact"/>
        <w:rPr>
          <w:sz w:val="20"/>
          <w:szCs w:val="20"/>
          <w:color w:val="auto"/>
        </w:rPr>
      </w:pPr>
    </w:p>
    <w:p>
      <w:pPr>
        <w:ind w:left="440" w:hanging="432"/>
        <w:spacing w:after="0"/>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w:t>
      </w:r>
    </w:p>
    <w:p>
      <w:pPr>
        <w:spacing w:after="0" w:line="225" w:lineRule="exact"/>
        <w:rPr>
          <w:rFonts w:ascii="Arial" w:cs="Arial" w:eastAsia="Arial" w:hAnsi="Arial"/>
          <w:sz w:val="18"/>
          <w:szCs w:val="18"/>
          <w:color w:val="auto"/>
        </w:rPr>
      </w:pPr>
    </w:p>
    <w:p>
      <w:pPr>
        <w:ind w:left="440" w:right="80" w:hanging="432"/>
        <w:spacing w:after="0" w:line="277" w:lineRule="auto"/>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Richard Eisenstadt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457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Richard Eisenstadt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10, 2022</w:t>
      </w:r>
    </w:p>
    <w:p>
      <w:pPr>
        <w:spacing w:after="0" w:line="211" w:lineRule="exact"/>
        <w:rPr>
          <w:sz w:val="20"/>
          <w:szCs w:val="20"/>
          <w:color w:val="auto"/>
        </w:rPr>
      </w:pPr>
    </w:p>
    <w:p>
      <w:pPr>
        <w:ind w:right="300" w:firstLine="441"/>
        <w:spacing w:after="0" w:line="342" w:lineRule="auto"/>
        <w:rPr>
          <w:sz w:val="20"/>
          <w:szCs w:val="20"/>
          <w:color w:val="auto"/>
        </w:rPr>
      </w:pPr>
      <w:r>
        <w:rPr>
          <w:rFonts w:ascii="Arial" w:cs="Arial" w:eastAsia="Arial" w:hAnsi="Arial"/>
          <w:sz w:val="16"/>
          <w:szCs w:val="16"/>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124" w:lineRule="exact"/>
        <w:rPr>
          <w:sz w:val="20"/>
          <w:szCs w:val="20"/>
          <w:color w:val="auto"/>
        </w:rPr>
      </w:pPr>
    </w:p>
    <w:p>
      <w:pPr>
        <w:jc w:val="both"/>
        <w:ind w:right="20" w:firstLine="441"/>
        <w:spacing w:after="0" w:line="311" w:lineRule="auto"/>
        <w:rPr>
          <w:sz w:val="20"/>
          <w:szCs w:val="20"/>
          <w:color w:val="auto"/>
        </w:rPr>
      </w:pPr>
      <w:r>
        <w:rPr>
          <w:rFonts w:ascii="Arial" w:cs="Arial" w:eastAsia="Arial" w:hAnsi="Arial"/>
          <w:sz w:val="16"/>
          <w:szCs w:val="16"/>
          <w:color w:val="auto"/>
        </w:rPr>
        <w:t>This certification is being furnished pursuant to Section 906 of the Sarbanes-Oxley Act of 2002 and shall not be deemed “filed” for purposes of Section 18 of the Securities Exchange Act of 1934, or otherwise subject to the liability of that section. This certification will not be deemed to be incorporated by reference into any filing under the Securities Act of 1933 or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309245</wp:posOffset>
            </wp:positionV>
            <wp:extent cx="629221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lvl w:ilvl="1">
      <w:lvlJc w:val="left"/>
      <w:lvlText w:val="%2"/>
      <w:numFmt w:val="decimal"/>
      <w:start w:val="104"/>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26" Type="http://schemas.openxmlformats.org/officeDocument/2006/relationships/hyperlink" Target="https://www.sec.gov/ix?doc=/Archives/edgar/data/1326190/000155837022003659/alt-20211231x10k.htm#Item8FinancialStatementsandSupple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2022-11-10T16:00:08Z</dcterms:created>
  <dcterms:modified xsi:type="dcterms:W3CDTF">2022-11-10T16:00:08Z</dcterms:modified>
</cp:coreProperties>
</file>