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Altimmune,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pPr>
            <w:r>
              <w:rPr/>
              <w:t>1</w:t>
            </w:r>
          </w:p>
        </w:tc>
        <w:tc>
          <w:tcPr>
            <w:tcW w:w="819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2006" w:type="dxa"/>
            <w:tcBorders/>
            <w:vAlign w:val="center"/>
          </w:tcPr>
          <w:p>
            <w:pPr>
              <w:pStyle w:val="TableContents"/>
              <w:bidi w:val="0"/>
              <w:spacing w:before="0" w:after="283"/>
              <w:jc w:val="left"/>
              <w:rPr/>
            </w:pPr>
            <w:r>
              <w:rPr/>
              <w:t>2</w:t>
            </w:r>
          </w:p>
        </w:tc>
        <w:tc>
          <w:tcPr>
            <w:tcW w:w="819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6" w:type="dxa"/>
            <w:tcBorders/>
            <w:vAlign w:val="center"/>
          </w:tcPr>
          <w:p>
            <w:pPr>
              <w:pStyle w:val="TableContents"/>
              <w:bidi w:val="0"/>
              <w:spacing w:before="0" w:after="283"/>
              <w:jc w:val="left"/>
              <w:rPr/>
            </w:pPr>
            <w:r>
              <w:rPr/>
              <w:t>3</w:t>
            </w:r>
          </w:p>
        </w:tc>
        <w:tc>
          <w:tcPr>
            <w:tcW w:w="8199" w:type="dxa"/>
            <w:tcBorders/>
            <w:vAlign w:val="center"/>
          </w:tcPr>
          <w:p>
            <w:pPr>
              <w:pStyle w:val="TableContents"/>
              <w:bidi w:val="0"/>
              <w:spacing w:before="0" w:after="283"/>
              <w:jc w:val="left"/>
              <w:rPr/>
            </w:pPr>
            <w:r>
              <w:rPr/>
              <w:t>Sec Use Only</w:t>
            </w:r>
          </w:p>
        </w:tc>
      </w:tr>
      <w:tr>
        <w:trPr/>
        <w:tc>
          <w:tcPr>
            <w:tcW w:w="2006" w:type="dxa"/>
            <w:tcBorders/>
            <w:vAlign w:val="center"/>
          </w:tcPr>
          <w:p>
            <w:pPr>
              <w:pStyle w:val="TableContents"/>
              <w:bidi w:val="0"/>
              <w:spacing w:before="0" w:after="283"/>
              <w:jc w:val="left"/>
              <w:rPr/>
            </w:pPr>
            <w:r>
              <w:rPr/>
              <w:t>4</w:t>
            </w:r>
          </w:p>
        </w:tc>
        <w:tc>
          <w:tcPr>
            <w:tcW w:w="819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666,022.00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666,022.00</w:t>
                  </w:r>
                </w:p>
              </w:tc>
            </w:tr>
          </w:tbl>
          <w:p>
            <w:pPr>
              <w:pStyle w:val="TableContents"/>
              <w:bidi w:val="0"/>
              <w:spacing w:before="0" w:after="283"/>
              <w:jc w:val="left"/>
              <w:rPr/>
            </w:pPr>
            <w:r>
              <w:rPr/>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center"/>
          </w:tcPr>
          <w:p>
            <w:pPr>
              <w:pStyle w:val="TableContents"/>
              <w:bidi w:val="0"/>
              <w:spacing w:before="0" w:after="283"/>
              <w:jc w:val="left"/>
              <w:rPr/>
            </w:pPr>
            <w:r>
              <w:rPr/>
              <w:t>9</w:t>
            </w:r>
          </w:p>
        </w:tc>
        <w:tc>
          <w:tcPr>
            <w:tcW w:w="819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666,022.00</w:t>
            </w:r>
          </w:p>
        </w:tc>
      </w:tr>
      <w:tr>
        <w:trPr/>
        <w:tc>
          <w:tcPr>
            <w:tcW w:w="2006" w:type="dxa"/>
            <w:tcBorders/>
            <w:vAlign w:val="center"/>
          </w:tcPr>
          <w:p>
            <w:pPr>
              <w:pStyle w:val="TableContents"/>
              <w:bidi w:val="0"/>
              <w:spacing w:before="0" w:after="283"/>
              <w:jc w:val="left"/>
              <w:rPr/>
            </w:pPr>
            <w:r>
              <w:rPr/>
              <w:t>10</w:t>
            </w:r>
          </w:p>
        </w:tc>
        <w:tc>
          <w:tcPr>
            <w:tcW w:w="819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6" w:type="dxa"/>
            <w:tcBorders/>
            <w:vAlign w:val="center"/>
          </w:tcPr>
          <w:p>
            <w:pPr>
              <w:pStyle w:val="TableContents"/>
              <w:bidi w:val="0"/>
              <w:spacing w:before="0" w:after="283"/>
              <w:jc w:val="left"/>
              <w:rPr/>
            </w:pPr>
            <w:r>
              <w:rPr/>
              <w:t>11</w:t>
            </w:r>
          </w:p>
        </w:tc>
        <w:tc>
          <w:tcPr>
            <w:tcW w:w="819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06" w:type="dxa"/>
            <w:tcBorders/>
            <w:vAlign w:val="center"/>
          </w:tcPr>
          <w:p>
            <w:pPr>
              <w:pStyle w:val="TableContents"/>
              <w:bidi w:val="0"/>
              <w:spacing w:before="0" w:after="283"/>
              <w:jc w:val="left"/>
              <w:rPr/>
            </w:pPr>
            <w:r>
              <w:rPr/>
              <w:t>12</w:t>
            </w:r>
          </w:p>
        </w:tc>
        <w:tc>
          <w:tcPr>
            <w:tcW w:w="819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Tang Capital Management, LLC ("TCM") shares voting and dispositive power over such shares with Tang Capital Partners International, LP ("TCPI") and Kevin Tang. The percentages used herein are based on 194,199,358 shares of Common Stock outstanding as of April 24, 2026, as set forth in the Prospectus filed on Form 424B5 that was filed with the Securities and Exchange Commission on April 24,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666,022.00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666,022.00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666,022.00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Kevin Tang shares voting and dispositive power over such shares with TCPI and TCM.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666,022.00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666,022.00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666,022.00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Altimmune,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 Clopper Road, Suite 201S, Gaithersburg, MD, 20878</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TCM, the general partner of Tang Capital Partners, LP ("TCP") and TCPI; Kevin Tang, the manager of TCM and Chief Executive Officer of Tang Capital Partners III, Inc. ("TCP III") and Tang Capital Partners IV, Inc.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TCP and TCPI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are Delaware limited partnerships.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666,022</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0.3  %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666,022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666,022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6" w:name="ex99_1.htm"/>
      <w:bookmarkStart w:id="37" w:name="ksex99_1"/>
      <w:bookmarkEnd w:id="36"/>
      <w:bookmarkEnd w:id="37"/>
      <w:r>
        <w:rPr/>
        <w:t> </w:t>
      </w:r>
      <w:r>
        <w:br w:type="page"/>
      </w:r>
    </w:p>
    <w:p>
      <w:pPr>
        <w:pStyle w:val="TextBody"/>
        <w:bidi w:val="0"/>
        <w:spacing w:before="0" w:after="0"/>
        <w:ind w:left="0" w:right="0" w:hanging="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accordance with Rule 13d-1(k)(1) promulgated under the Securities Exchange Act of 1934, the undersigned agree to the joint filing of a Statement on Schedule 13G (including any and all amendments thereto) with respect to the Common stock, par value $0.0001 per share, of Altimmune, Inc. and further agree to the filing of this agreement as an exhibit thereto. In addition, each party to this Agreement expressly authorizes each other party to this Agreement to file on its behalf any and all amendments to such Statement on Schedule 13G.</w:t>
      </w:r>
    </w:p>
    <w:p>
      <w:pPr>
        <w:pStyle w:val="TextBody"/>
        <w:bidi w:val="0"/>
        <w:spacing w:before="0" w:after="0"/>
        <w:ind w:left="0" w:right="0" w:hanging="0"/>
        <w:jc w:val="both"/>
        <w:rPr>
          <w:caps w:val="false"/>
          <w:smallCaps w:val="false"/>
        </w:rPr>
      </w:pPr>
      <w:r>
        <w:rPr>
          <w:caps w:val="false"/>
          <w:smallCaps w:val="false"/>
        </w:rPr>
        <w:t> </w:t>
      </w:r>
    </w:p>
    <w:tbl>
      <w:tblPr>
        <w:tblW w:w="6339" w:type="dxa"/>
        <w:jc w:val="left"/>
        <w:tblInd w:w="0" w:type="dxa"/>
        <w:tblLayout w:type="fixed"/>
        <w:tblCellMar>
          <w:top w:w="0" w:type="dxa"/>
          <w:left w:w="0" w:type="dxa"/>
          <w:bottom w:w="0" w:type="dxa"/>
          <w:right w:w="0" w:type="dxa"/>
        </w:tblCellMar>
      </w:tblPr>
      <w:tblGrid>
        <w:gridCol w:w="1655"/>
        <w:gridCol w:w="865"/>
        <w:gridCol w:w="923"/>
        <w:gridCol w:w="2821"/>
        <w:gridCol w:w="75"/>
      </w:tblGrid>
      <w:tr>
        <w:trPr/>
        <w:tc>
          <w:tcPr>
            <w:tcW w:w="1655" w:type="dxa"/>
            <w:tcBorders/>
            <w:vAlign w:val="center"/>
          </w:tcPr>
          <w:p>
            <w:pPr>
              <w:pStyle w:val="TableContents"/>
              <w:bidi w:val="0"/>
              <w:spacing w:before="0" w:after="283"/>
              <w:jc w:val="left"/>
              <w:rPr>
                <w:sz w:val="20"/>
              </w:rPr>
            </w:pPr>
            <w:r>
              <w:rPr>
                <w:sz w:val="20"/>
              </w:rPr>
              <w:t>Date: May 15, 2026</w:t>
            </w:r>
          </w:p>
        </w:tc>
        <w:tc>
          <w:tcPr>
            <w:tcW w:w="4609" w:type="dxa"/>
            <w:gridSpan w:val="3"/>
            <w:tcBorders/>
            <w:vAlign w:val="center"/>
          </w:tcPr>
          <w:p>
            <w:pPr>
              <w:pStyle w:val="TableContents"/>
              <w:bidi w:val="0"/>
              <w:spacing w:before="0" w:after="283"/>
              <w:jc w:val="left"/>
              <w:rPr>
                <w:b/>
                <w:sz w:val="20"/>
              </w:rPr>
            </w:pPr>
            <w:r>
              <w:rPr>
                <w:b/>
                <w:sz w:val="20"/>
              </w:rPr>
              <w:t>TANG CAPITAL PARTNERS, LP</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vAlign w:val="center"/>
          </w:tcPr>
          <w:p>
            <w:pPr>
              <w:pStyle w:val="TableContents"/>
              <w:bidi w:val="0"/>
              <w:spacing w:before="0" w:after="283"/>
              <w:jc w:val="left"/>
              <w:rPr>
                <w:sz w:val="20"/>
              </w:rPr>
            </w:pPr>
            <w:r>
              <w:rPr>
                <w:sz w:val="20"/>
              </w:rPr>
              <w:t>Tang Capital Management, LLC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Its:  </w:t>
            </w:r>
          </w:p>
        </w:tc>
        <w:tc>
          <w:tcPr>
            <w:tcW w:w="3744" w:type="dxa"/>
            <w:gridSpan w:val="2"/>
            <w:tcBorders/>
            <w:vAlign w:val="center"/>
          </w:tcPr>
          <w:p>
            <w:pPr>
              <w:pStyle w:val="TableContents"/>
              <w:bidi w:val="0"/>
              <w:spacing w:before="0" w:after="283"/>
              <w:jc w:val="left"/>
              <w:rPr>
                <w:sz w:val="20"/>
              </w:rPr>
            </w:pPr>
            <w:r>
              <w:rPr>
                <w:sz w:val="20"/>
              </w:rPr>
              <w:t>General Partner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  </w:t>
            </w:r>
          </w:p>
        </w:tc>
        <w:tc>
          <w:tcPr>
            <w:tcW w:w="2821" w:type="dxa"/>
            <w:tcBorders/>
            <w:vAlign w:val="center"/>
          </w:tcPr>
          <w:p>
            <w:pPr>
              <w:pStyle w:val="TableContents"/>
              <w:bidi w:val="0"/>
              <w:spacing w:before="0" w:after="283"/>
              <w:jc w:val="left"/>
              <w:rPr>
                <w:sz w:val="20"/>
              </w:rPr>
            </w:pPr>
            <w:r>
              <w:rPr>
                <w:sz w:val="20"/>
              </w:rPr>
              <w:t>Kevin Tang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  </w:t>
            </w:r>
          </w:p>
        </w:tc>
        <w:tc>
          <w:tcPr>
            <w:tcW w:w="2821" w:type="dxa"/>
            <w:tcBorders/>
            <w:vAlign w:val="center"/>
          </w:tcPr>
          <w:p>
            <w:pPr>
              <w:pStyle w:val="TableContents"/>
              <w:bidi w:val="0"/>
              <w:spacing w:before="0" w:after="283"/>
              <w:jc w:val="left"/>
              <w:rPr>
                <w:sz w:val="20"/>
              </w:rPr>
            </w:pPr>
            <w:r>
              <w:rPr>
                <w:sz w:val="20"/>
              </w:rPr>
              <w:t>Manager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b/>
                <w:sz w:val="20"/>
              </w:rPr>
            </w:pPr>
            <w:r>
              <w:rPr>
                <w:b/>
                <w:sz w:val="20"/>
              </w:rPr>
              <w:t>TANG CAPITAL PARTNERS INTERNATIONAL, LP</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vAlign w:val="center"/>
          </w:tcPr>
          <w:p>
            <w:pPr>
              <w:pStyle w:val="TableContents"/>
              <w:bidi w:val="0"/>
              <w:spacing w:before="0" w:after="283"/>
              <w:jc w:val="left"/>
              <w:rPr>
                <w:sz w:val="20"/>
              </w:rPr>
            </w:pPr>
            <w:r>
              <w:rPr>
                <w:sz w:val="20"/>
              </w:rPr>
              <w:t>Tang Capital Management, LLC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Its:  </w:t>
            </w:r>
          </w:p>
        </w:tc>
        <w:tc>
          <w:tcPr>
            <w:tcW w:w="3744" w:type="dxa"/>
            <w:gridSpan w:val="2"/>
            <w:tcBorders/>
            <w:vAlign w:val="center"/>
          </w:tcPr>
          <w:p>
            <w:pPr>
              <w:pStyle w:val="TableContents"/>
              <w:bidi w:val="0"/>
              <w:spacing w:before="0" w:after="283"/>
              <w:jc w:val="left"/>
              <w:rPr>
                <w:sz w:val="20"/>
              </w:rPr>
            </w:pPr>
            <w:r>
              <w:rPr>
                <w:sz w:val="20"/>
              </w:rPr>
              <w:t>General Partner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  </w:t>
            </w:r>
          </w:p>
        </w:tc>
        <w:tc>
          <w:tcPr>
            <w:tcW w:w="2821" w:type="dxa"/>
            <w:tcBorders/>
            <w:vAlign w:val="center"/>
          </w:tcPr>
          <w:p>
            <w:pPr>
              <w:pStyle w:val="TableContents"/>
              <w:bidi w:val="0"/>
              <w:spacing w:before="0" w:after="283"/>
              <w:jc w:val="left"/>
              <w:rPr>
                <w:sz w:val="20"/>
              </w:rPr>
            </w:pPr>
            <w:r>
              <w:rPr>
                <w:sz w:val="20"/>
              </w:rPr>
              <w:t>Kevin Tang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  </w:t>
            </w:r>
          </w:p>
        </w:tc>
        <w:tc>
          <w:tcPr>
            <w:tcW w:w="2821" w:type="dxa"/>
            <w:tcBorders/>
            <w:vAlign w:val="center"/>
          </w:tcPr>
          <w:p>
            <w:pPr>
              <w:pStyle w:val="TableContents"/>
              <w:bidi w:val="0"/>
              <w:spacing w:before="0" w:after="283"/>
              <w:jc w:val="left"/>
              <w:rPr>
                <w:sz w:val="20"/>
              </w:rPr>
            </w:pPr>
            <w:r>
              <w:rPr>
                <w:sz w:val="20"/>
              </w:rPr>
              <w:t>Manager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TANG CAPITAL PARTNERS III, INC</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  </w:t>
            </w:r>
          </w:p>
        </w:tc>
        <w:tc>
          <w:tcPr>
            <w:tcW w:w="2821" w:type="dxa"/>
            <w:tcBorders/>
            <w:vAlign w:val="center"/>
          </w:tcPr>
          <w:p>
            <w:pPr>
              <w:pStyle w:val="TableContents"/>
              <w:bidi w:val="0"/>
              <w:spacing w:before="0" w:after="283"/>
              <w:jc w:val="left"/>
              <w:rPr>
                <w:sz w:val="20"/>
              </w:rPr>
            </w:pPr>
            <w:r>
              <w:rPr>
                <w:sz w:val="20"/>
              </w:rPr>
              <w:t>Kevin Tang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  </w:t>
            </w:r>
          </w:p>
        </w:tc>
        <w:tc>
          <w:tcPr>
            <w:tcW w:w="2821"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sz w:val="20"/>
              </w:rPr>
            </w:pPr>
            <w:r>
              <w:rPr>
                <w:b/>
                <w:sz w:val="20"/>
              </w:rPr>
              <w:t>TANG CAPITAL PARTNERS IV, INC</w:t>
            </w:r>
            <w:r>
              <w:rPr>
                <w:sz w:val="20"/>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  </w:t>
            </w:r>
          </w:p>
        </w:tc>
        <w:tc>
          <w:tcPr>
            <w:tcW w:w="2821" w:type="dxa"/>
            <w:tcBorders/>
            <w:vAlign w:val="center"/>
          </w:tcPr>
          <w:p>
            <w:pPr>
              <w:pStyle w:val="TableContents"/>
              <w:bidi w:val="0"/>
              <w:spacing w:before="0" w:after="283"/>
              <w:jc w:val="left"/>
              <w:rPr>
                <w:sz w:val="20"/>
              </w:rPr>
            </w:pPr>
            <w:r>
              <w:rPr>
                <w:sz w:val="20"/>
              </w:rPr>
              <w:t>Kevin Tang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  </w:t>
            </w:r>
          </w:p>
        </w:tc>
        <w:tc>
          <w:tcPr>
            <w:tcW w:w="2821"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b/>
                <w:sz w:val="20"/>
              </w:rPr>
            </w:pPr>
            <w:r>
              <w:rPr>
                <w:b/>
                <w:sz w:val="20"/>
              </w:rPr>
              <w:t>TANG CAPITAL MANAGEMENT, LLC</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sz w:val="20"/>
              </w:rPr>
            </w:pPr>
            <w:r>
              <w:rPr>
                <w:sz w:val="20"/>
              </w:rPr>
              <w:t>By:  </w:t>
            </w:r>
          </w:p>
        </w:tc>
        <w:tc>
          <w:tcPr>
            <w:tcW w:w="37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Tang</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Name:  </w:t>
            </w:r>
          </w:p>
        </w:tc>
        <w:tc>
          <w:tcPr>
            <w:tcW w:w="2821" w:type="dxa"/>
            <w:tcBorders/>
            <w:vAlign w:val="center"/>
          </w:tcPr>
          <w:p>
            <w:pPr>
              <w:pStyle w:val="TableContents"/>
              <w:bidi w:val="0"/>
              <w:spacing w:before="0" w:after="283"/>
              <w:jc w:val="left"/>
              <w:rPr>
                <w:sz w:val="20"/>
              </w:rPr>
            </w:pPr>
            <w:r>
              <w:rPr>
                <w:sz w:val="20"/>
              </w:rPr>
              <w:t>Kevin Tang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sz w:val="20"/>
              </w:rPr>
            </w:pPr>
            <w:r>
              <w:rPr>
                <w:sz w:val="20"/>
              </w:rPr>
              <w:t>Title:  </w:t>
            </w:r>
          </w:p>
        </w:tc>
        <w:tc>
          <w:tcPr>
            <w:tcW w:w="2821" w:type="dxa"/>
            <w:tcBorders/>
            <w:vAlign w:val="center"/>
          </w:tcPr>
          <w:p>
            <w:pPr>
              <w:pStyle w:val="TableContents"/>
              <w:bidi w:val="0"/>
              <w:spacing w:before="0" w:after="283"/>
              <w:jc w:val="left"/>
              <w:rPr>
                <w:sz w:val="20"/>
              </w:rPr>
            </w:pPr>
            <w:r>
              <w:rPr>
                <w:sz w:val="20"/>
              </w:rPr>
              <w:t>Manager</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28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609" w:type="dxa"/>
            <w:gridSpan w:val="3"/>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Tang</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74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Tang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1796</Words>
  <Characters>9135</Characters>
  <CharactersWithSpaces>10953</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